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182D" w:rsidRPr="0068182D" w:rsidRDefault="0068182D" w:rsidP="0068182D">
      <w:pPr>
        <w:keepNext/>
        <w:keepLines/>
        <w:autoSpaceDE w:val="0"/>
        <w:autoSpaceDN w:val="0"/>
        <w:adjustRightInd w:val="0"/>
        <w:spacing w:after="0" w:line="240" w:lineRule="auto"/>
        <w:jc w:val="right"/>
        <w:rPr>
          <w:rFonts w:ascii="Times New Roman" w:hAnsi="Times New Roman" w:cs="Times New Roman"/>
          <w:sz w:val="28"/>
          <w:szCs w:val="28"/>
          <w:lang w:val="en-US"/>
        </w:rPr>
      </w:pPr>
      <w:r w:rsidRPr="0068182D">
        <w:rPr>
          <w:rFonts w:ascii="Times New Roman" w:hAnsi="Times New Roman" w:cs="Times New Roman"/>
          <w:b/>
          <w:bCs/>
          <w:sz w:val="28"/>
          <w:szCs w:val="28"/>
        </w:rPr>
        <w:t>Ф</w:t>
      </w:r>
      <w:r w:rsidRPr="0068182D">
        <w:rPr>
          <w:rFonts w:ascii="Times New Roman" w:hAnsi="Times New Roman" w:cs="Times New Roman"/>
          <w:b/>
          <w:bCs/>
          <w:sz w:val="28"/>
          <w:szCs w:val="28"/>
          <w:lang w:val="en-US"/>
        </w:rPr>
        <w:t>. 7.03-20</w:t>
      </w:r>
    </w:p>
    <w:p w:rsidR="0068182D" w:rsidRPr="0068182D" w:rsidRDefault="0068182D" w:rsidP="0068182D">
      <w:pPr>
        <w:keepNext/>
        <w:keepLines/>
        <w:shd w:val="clear" w:color="auto" w:fill="FFFFFF"/>
        <w:autoSpaceDE w:val="0"/>
        <w:autoSpaceDN w:val="0"/>
        <w:adjustRightInd w:val="0"/>
        <w:spacing w:after="0" w:line="240" w:lineRule="auto"/>
        <w:ind w:right="-6"/>
        <w:jc w:val="right"/>
        <w:rPr>
          <w:rFonts w:ascii="Times New Roman" w:hAnsi="Times New Roman" w:cs="Times New Roman"/>
          <w:bCs/>
          <w:color w:val="000000"/>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noProof/>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noProof/>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noProof/>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noProof/>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noProof/>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noProof/>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noProof/>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noProof/>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Gulmira K.Issayeva </w:t>
      </w: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b/>
          <w:bCs/>
          <w:caps/>
          <w:sz w:val="28"/>
          <w:szCs w:val="28"/>
          <w:lang w:val="en-US"/>
        </w:rPr>
      </w:pPr>
      <w:r w:rsidRPr="0068182D">
        <w:rPr>
          <w:rFonts w:ascii="Times New Roman" w:hAnsi="Times New Roman" w:cs="Times New Roman"/>
          <w:b/>
          <w:bCs/>
          <w:caps/>
          <w:sz w:val="28"/>
          <w:szCs w:val="28"/>
          <w:lang w:val="en-US"/>
        </w:rPr>
        <w:t>FINANCE OF FOREIGN COUNTRIES</w:t>
      </w: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b/>
          <w:bCs/>
          <w:caps/>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b/>
          <w:bCs/>
          <w:caps/>
          <w:sz w:val="28"/>
          <w:szCs w:val="28"/>
          <w:lang w:val="en-US"/>
        </w:rPr>
      </w:pPr>
      <w:r w:rsidRPr="0068182D">
        <w:rPr>
          <w:rFonts w:ascii="Times New Roman" w:hAnsi="Times New Roman" w:cs="Times New Roman"/>
          <w:b/>
          <w:bCs/>
          <w:caps/>
          <w:sz w:val="28"/>
          <w:szCs w:val="28"/>
          <w:lang w:val="en-US"/>
        </w:rPr>
        <w:t>Textbook</w:t>
      </w: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CD577A" w:rsidP="0068182D">
      <w:pPr>
        <w:keepNext/>
        <w:keepLines/>
        <w:spacing w:after="0" w:line="240" w:lineRule="auto"/>
        <w:jc w:val="center"/>
        <w:rPr>
          <w:rFonts w:ascii="Times New Roman" w:hAnsi="Times New Roman" w:cs="Times New Roman"/>
          <w:b/>
          <w:bCs/>
          <w:sz w:val="28"/>
          <w:szCs w:val="28"/>
          <w:lang w:val="en-US"/>
        </w:rPr>
      </w:pPr>
      <w:r>
        <w:rPr>
          <w:rFonts w:ascii="Times New Roman" w:hAnsi="Times New Roman" w:cs="Times New Roman"/>
          <w:b/>
          <w:bCs/>
          <w:noProof/>
          <w:sz w:val="28"/>
          <w:szCs w:val="28"/>
        </w:rPr>
        <w:pict>
          <v:rect id="_x0000_s1052" style="position:absolute;left:0;text-align:left;margin-left:224.9pt;margin-top:30.85pt;width:29.8pt;height:18.65pt;z-index:251655168" stroked="f"/>
        </w:pict>
      </w:r>
      <w:r w:rsidR="0068182D" w:rsidRPr="0068182D">
        <w:rPr>
          <w:rFonts w:ascii="Times New Roman" w:hAnsi="Times New Roman" w:cs="Times New Roman"/>
          <w:b/>
          <w:bCs/>
          <w:sz w:val="28"/>
          <w:szCs w:val="28"/>
          <w:lang w:val="en-US"/>
        </w:rPr>
        <w:t>Shymkent, 2018</w:t>
      </w: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bCs/>
          <w:sz w:val="28"/>
          <w:szCs w:val="28"/>
          <w:lang w:val="en-US"/>
        </w:rPr>
      </w:pPr>
    </w:p>
    <w:p w:rsidR="0068182D" w:rsidRPr="0068182D" w:rsidRDefault="00CD577A" w:rsidP="0068182D">
      <w:pPr>
        <w:keepNext/>
        <w:keepLines/>
        <w:spacing w:after="0" w:line="240" w:lineRule="auto"/>
        <w:jc w:val="center"/>
        <w:rPr>
          <w:rFonts w:ascii="Times New Roman" w:hAnsi="Times New Roman" w:cs="Times New Roman"/>
          <w:b/>
          <w:bCs/>
          <w:sz w:val="28"/>
          <w:szCs w:val="28"/>
          <w:lang w:val="en-US"/>
        </w:rPr>
      </w:pPr>
      <w:r>
        <w:rPr>
          <w:rFonts w:ascii="Times New Roman" w:hAnsi="Times New Roman" w:cs="Times New Roman"/>
          <w:b/>
          <w:bCs/>
          <w:noProof/>
          <w:sz w:val="28"/>
          <w:szCs w:val="28"/>
        </w:rPr>
        <w:pict>
          <v:rect id="_x0000_s1057" style="position:absolute;left:0;text-align:left;margin-left:226.55pt;margin-top:26.2pt;width:29.8pt;height:16.8pt;z-index:251660288" stroked="f"/>
        </w:pict>
      </w:r>
    </w:p>
    <w:p w:rsidR="0068182D" w:rsidRPr="0068182D" w:rsidRDefault="0068182D" w:rsidP="00EC2893">
      <w:pPr>
        <w:keepNext/>
        <w:keepLines/>
        <w:spacing w:after="0" w:line="240" w:lineRule="auto"/>
        <w:jc w:val="center"/>
        <w:rPr>
          <w:rFonts w:ascii="Times New Roman" w:hAnsi="Times New Roman" w:cs="Times New Roman"/>
          <w:b/>
          <w:sz w:val="28"/>
          <w:szCs w:val="28"/>
          <w:lang w:val="en-US"/>
        </w:rPr>
      </w:pPr>
      <w:r w:rsidRPr="0068182D">
        <w:rPr>
          <w:rFonts w:ascii="Times New Roman" w:hAnsi="Times New Roman" w:cs="Times New Roman"/>
          <w:b/>
          <w:color w:val="000000"/>
          <w:sz w:val="28"/>
          <w:szCs w:val="28"/>
          <w:lang w:val="en-US"/>
        </w:rPr>
        <w:t xml:space="preserve">MINISTRY </w:t>
      </w:r>
      <w:r w:rsidRPr="0068182D">
        <w:rPr>
          <w:rFonts w:ascii="Times New Roman" w:hAnsi="Times New Roman" w:cs="Times New Roman"/>
          <w:b/>
          <w:sz w:val="28"/>
          <w:szCs w:val="28"/>
          <w:lang w:val="en-US"/>
        </w:rPr>
        <w:t>OF EDUCATION AND SCIENCE OF THE REPUBLIC OF KAZAKHSTAN</w:t>
      </w:r>
    </w:p>
    <w:p w:rsidR="0068182D" w:rsidRPr="0068182D" w:rsidRDefault="0068182D" w:rsidP="0068182D">
      <w:pPr>
        <w:keepNext/>
        <w:keepLines/>
        <w:spacing w:after="0" w:line="240" w:lineRule="auto"/>
        <w:jc w:val="center"/>
        <w:rPr>
          <w:rFonts w:ascii="Times New Roman" w:hAnsi="Times New Roman" w:cs="Times New Roman"/>
          <w:b/>
          <w:sz w:val="28"/>
          <w:szCs w:val="28"/>
          <w:lang w:val="en-US"/>
        </w:rPr>
      </w:pPr>
    </w:p>
    <w:p w:rsidR="0068182D" w:rsidRPr="0068182D" w:rsidRDefault="0068182D" w:rsidP="0068182D">
      <w:pPr>
        <w:keepNext/>
        <w:keepLines/>
        <w:spacing w:after="0" w:line="240" w:lineRule="auto"/>
        <w:jc w:val="center"/>
        <w:rPr>
          <w:rFonts w:ascii="Times New Roman" w:hAnsi="Times New Roman" w:cs="Times New Roman"/>
          <w:b/>
          <w:caps/>
          <w:color w:val="000000"/>
          <w:sz w:val="28"/>
          <w:szCs w:val="28"/>
          <w:lang w:val="en-US"/>
        </w:rPr>
      </w:pPr>
      <w:r w:rsidRPr="0068182D">
        <w:rPr>
          <w:rFonts w:ascii="Times New Roman" w:hAnsi="Times New Roman" w:cs="Times New Roman"/>
          <w:b/>
          <w:caps/>
          <w:sz w:val="28"/>
          <w:szCs w:val="28"/>
          <w:lang w:val="en-US"/>
        </w:rPr>
        <w:t>M.Auezov South Kazakhstan State University</w:t>
      </w:r>
    </w:p>
    <w:p w:rsidR="0068182D" w:rsidRPr="0068182D" w:rsidRDefault="0068182D" w:rsidP="0068182D">
      <w:pPr>
        <w:keepNext/>
        <w:keepLines/>
        <w:shd w:val="clear" w:color="auto" w:fill="FFFFFF"/>
        <w:autoSpaceDE w:val="0"/>
        <w:autoSpaceDN w:val="0"/>
        <w:adjustRightInd w:val="0"/>
        <w:spacing w:after="0" w:line="240" w:lineRule="auto"/>
        <w:ind w:right="-6"/>
        <w:jc w:val="center"/>
        <w:rPr>
          <w:rFonts w:ascii="Times New Roman" w:hAnsi="Times New Roman" w:cs="Times New Roman"/>
          <w:b/>
          <w:bCs/>
          <w:color w:val="000000"/>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Gulmira K.Issayeva </w:t>
      </w: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b/>
          <w:bCs/>
          <w:caps/>
          <w:sz w:val="28"/>
          <w:szCs w:val="28"/>
          <w:lang w:val="en-US"/>
        </w:rPr>
      </w:pPr>
      <w:r w:rsidRPr="0068182D">
        <w:rPr>
          <w:rFonts w:ascii="Times New Roman" w:hAnsi="Times New Roman" w:cs="Times New Roman"/>
          <w:b/>
          <w:bCs/>
          <w:caps/>
          <w:sz w:val="28"/>
          <w:szCs w:val="28"/>
          <w:lang w:val="en-US"/>
        </w:rPr>
        <w:t>FINANCE OF FOREIGN COUNTRIES</w:t>
      </w: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b/>
          <w:bCs/>
          <w:caps/>
          <w:sz w:val="28"/>
          <w:szCs w:val="28"/>
          <w:lang w:val="en-US"/>
        </w:rPr>
      </w:pPr>
      <w:r w:rsidRPr="0068182D">
        <w:rPr>
          <w:rFonts w:ascii="Times New Roman" w:hAnsi="Times New Roman" w:cs="Times New Roman"/>
          <w:b/>
          <w:bCs/>
          <w:caps/>
          <w:sz w:val="28"/>
          <w:szCs w:val="28"/>
          <w:lang w:val="en-US"/>
        </w:rPr>
        <w:t>Textbook</w:t>
      </w: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r w:rsidRPr="0068182D">
        <w:rPr>
          <w:rFonts w:ascii="Times New Roman" w:hAnsi="Times New Roman" w:cs="Times New Roman"/>
          <w:bCs/>
          <w:sz w:val="28"/>
          <w:szCs w:val="28"/>
          <w:lang w:val="en-US"/>
        </w:rPr>
        <w:t xml:space="preserve">for students </w:t>
      </w:r>
      <w:r w:rsidRPr="0068182D">
        <w:rPr>
          <w:rFonts w:ascii="Times New Roman" w:hAnsi="Times New Roman" w:cs="Times New Roman"/>
          <w:sz w:val="28"/>
          <w:szCs w:val="28"/>
          <w:lang w:val="en-US"/>
        </w:rPr>
        <w:t>specialty 5B050900 - "Finance"</w:t>
      </w: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b/>
          <w:bCs/>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CD577A"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r w:rsidRPr="00CD577A">
        <w:rPr>
          <w:rFonts w:ascii="Times New Roman" w:hAnsi="Times New Roman" w:cs="Times New Roman"/>
          <w:b/>
          <w:bCs/>
          <w:noProof/>
          <w:sz w:val="28"/>
          <w:szCs w:val="28"/>
        </w:rPr>
        <w:pict>
          <v:rect id="_x0000_s1054" style="position:absolute;margin-left:194.85pt;margin-top:23.15pt;width:29.8pt;height:11.75pt;z-index:251656192" stroked="f"/>
        </w:pict>
      </w: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b/>
          <w:noProof/>
          <w:sz w:val="28"/>
          <w:szCs w:val="28"/>
          <w:lang w:val="en-US"/>
        </w:rPr>
      </w:pPr>
    </w:p>
    <w:p w:rsidR="0068182D" w:rsidRPr="0068182D" w:rsidRDefault="00CD577A" w:rsidP="0068182D">
      <w:pPr>
        <w:keepNext/>
        <w:keepLines/>
        <w:spacing w:after="0" w:line="240" w:lineRule="auto"/>
        <w:jc w:val="center"/>
        <w:rPr>
          <w:rFonts w:ascii="Times New Roman" w:hAnsi="Times New Roman" w:cs="Times New Roman"/>
          <w:b/>
          <w:bCs/>
          <w:sz w:val="28"/>
          <w:szCs w:val="28"/>
          <w:lang w:val="en-US"/>
        </w:rPr>
      </w:pPr>
      <w:r w:rsidRPr="00CD577A">
        <w:rPr>
          <w:rFonts w:ascii="Times New Roman" w:hAnsi="Times New Roman" w:cs="Times New Roman"/>
          <w:noProof/>
          <w:sz w:val="28"/>
          <w:szCs w:val="28"/>
        </w:rPr>
        <w:pict>
          <v:rect id="_x0000_s1056" style="position:absolute;left:0;text-align:left;margin-left:224.65pt;margin-top:18.35pt;width:29.8pt;height:16.8pt;z-index:251659264" stroked="f"/>
        </w:pict>
      </w:r>
      <w:r>
        <w:rPr>
          <w:rFonts w:ascii="Times New Roman" w:hAnsi="Times New Roman" w:cs="Times New Roman"/>
          <w:b/>
          <w:bCs/>
          <w:noProof/>
          <w:sz w:val="28"/>
          <w:szCs w:val="28"/>
        </w:rPr>
        <w:pict>
          <v:rect id="_x0000_s1055" style="position:absolute;left:0;text-align:left;margin-left:224.65pt;margin-top:29.35pt;width:29.8pt;height:16.8pt;z-index:251658240" stroked="f"/>
        </w:pict>
      </w:r>
      <w:r w:rsidR="0068182D" w:rsidRPr="0068182D">
        <w:rPr>
          <w:rFonts w:ascii="Times New Roman" w:hAnsi="Times New Roman" w:cs="Times New Roman"/>
          <w:b/>
          <w:bCs/>
          <w:sz w:val="28"/>
          <w:szCs w:val="28"/>
          <w:lang w:val="en-US"/>
        </w:rPr>
        <w:t>Shymkent, 2018</w:t>
      </w:r>
    </w:p>
    <w:p w:rsidR="0068182D" w:rsidRPr="0068182D" w:rsidRDefault="0068182D" w:rsidP="0068182D">
      <w:pPr>
        <w:keepNext/>
        <w:keepLines/>
        <w:pageBreakBefore/>
        <w:spacing w:after="0" w:line="240" w:lineRule="auto"/>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t>UDC 336.41</w:t>
      </w:r>
    </w:p>
    <w:p w:rsidR="0068182D" w:rsidRPr="0068182D" w:rsidRDefault="0068182D" w:rsidP="0068182D">
      <w:pPr>
        <w:keepNext/>
        <w:keepLines/>
        <w:shd w:val="clear" w:color="auto" w:fill="FFFFFF"/>
        <w:spacing w:after="0" w:line="240" w:lineRule="auto"/>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BBC I 85</w:t>
      </w:r>
    </w:p>
    <w:p w:rsidR="0068182D" w:rsidRPr="0068182D" w:rsidRDefault="0068182D" w:rsidP="0068182D">
      <w:pPr>
        <w:keepNext/>
        <w:keepLines/>
        <w:shd w:val="clear" w:color="auto" w:fill="FFFFFF"/>
        <w:spacing w:after="0" w:line="240" w:lineRule="auto"/>
        <w:jc w:val="both"/>
        <w:rPr>
          <w:rFonts w:ascii="Times New Roman" w:hAnsi="Times New Roman" w:cs="Times New Roman"/>
          <w:bCs/>
          <w:sz w:val="28"/>
          <w:szCs w:val="28"/>
          <w:lang w:val="en-US"/>
        </w:rPr>
      </w:pPr>
    </w:p>
    <w:p w:rsidR="0068182D" w:rsidRPr="0068182D" w:rsidRDefault="0068182D" w:rsidP="0068182D">
      <w:pPr>
        <w:keepNext/>
        <w:keepLines/>
        <w:shd w:val="clear" w:color="auto" w:fill="FFFFFF"/>
        <w:spacing w:after="0" w:line="240" w:lineRule="auto"/>
        <w:jc w:val="both"/>
        <w:rPr>
          <w:rFonts w:ascii="Times New Roman" w:hAnsi="Times New Roman" w:cs="Times New Roman"/>
          <w:bCs/>
          <w:sz w:val="28"/>
          <w:szCs w:val="28"/>
          <w:lang w:val="en-US"/>
        </w:rPr>
      </w:pPr>
      <w:r w:rsidRPr="0068182D">
        <w:rPr>
          <w:rFonts w:ascii="Times New Roman" w:hAnsi="Times New Roman" w:cs="Times New Roman"/>
          <w:bCs/>
          <w:sz w:val="28"/>
          <w:szCs w:val="28"/>
          <w:lang w:val="en-US"/>
        </w:rPr>
        <w:t>G.K.Issayeva. Finance of foreign countries</w:t>
      </w:r>
      <w:r w:rsidRPr="0068182D">
        <w:rPr>
          <w:rFonts w:ascii="Times New Roman" w:hAnsi="Times New Roman" w:cs="Times New Roman"/>
          <w:sz w:val="28"/>
          <w:szCs w:val="28"/>
          <w:lang w:val="en-US"/>
        </w:rPr>
        <w:t xml:space="preserve"> / Textbook. </w:t>
      </w:r>
      <w:r w:rsidRPr="0068182D">
        <w:rPr>
          <w:rFonts w:ascii="Times New Roman" w:hAnsi="Times New Roman" w:cs="Times New Roman"/>
          <w:bCs/>
          <w:sz w:val="28"/>
          <w:szCs w:val="28"/>
          <w:lang w:val="en-US"/>
        </w:rPr>
        <w:t xml:space="preserve">Shymkent: M.Auezov SKSU, 2018.- </w:t>
      </w:r>
      <w:r w:rsidR="00052E2C">
        <w:rPr>
          <w:rFonts w:ascii="Times New Roman" w:hAnsi="Times New Roman" w:cs="Times New Roman"/>
          <w:bCs/>
          <w:sz w:val="28"/>
          <w:szCs w:val="28"/>
          <w:lang w:val="en-US"/>
        </w:rPr>
        <w:t>200</w:t>
      </w:r>
      <w:r w:rsidRPr="0068182D">
        <w:rPr>
          <w:rFonts w:ascii="Times New Roman" w:hAnsi="Times New Roman" w:cs="Times New Roman"/>
          <w:bCs/>
          <w:sz w:val="28"/>
          <w:szCs w:val="28"/>
          <w:lang w:val="en-US"/>
        </w:rPr>
        <w:t xml:space="preserve"> p.</w:t>
      </w:r>
    </w:p>
    <w:p w:rsidR="0068182D" w:rsidRPr="0068182D" w:rsidRDefault="0068182D" w:rsidP="0068182D">
      <w:pPr>
        <w:keepNext/>
        <w:keepLines/>
        <w:autoSpaceDE w:val="0"/>
        <w:autoSpaceDN w:val="0"/>
        <w:adjustRightInd w:val="0"/>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ISBN</w:t>
      </w:r>
    </w:p>
    <w:p w:rsidR="0068182D" w:rsidRPr="0068182D" w:rsidRDefault="0068182D" w:rsidP="0068182D">
      <w:pPr>
        <w:keepNext/>
        <w:keepLines/>
        <w:autoSpaceDE w:val="0"/>
        <w:autoSpaceDN w:val="0"/>
        <w:adjustRightInd w:val="0"/>
        <w:spacing w:after="0" w:line="240" w:lineRule="auto"/>
        <w:jc w:val="both"/>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Textbook is made according to requirements of the curriculum and the program of discipline "</w:t>
      </w:r>
      <w:r w:rsidRPr="0068182D">
        <w:rPr>
          <w:rFonts w:ascii="Times New Roman" w:hAnsi="Times New Roman" w:cs="Times New Roman"/>
          <w:bCs/>
          <w:sz w:val="28"/>
          <w:szCs w:val="28"/>
          <w:lang w:val="en-US"/>
        </w:rPr>
        <w:t>Finance of foreign countries</w:t>
      </w:r>
      <w:r w:rsidRPr="0068182D">
        <w:rPr>
          <w:rFonts w:ascii="Times New Roman" w:hAnsi="Times New Roman" w:cs="Times New Roman"/>
          <w:sz w:val="28"/>
          <w:szCs w:val="28"/>
          <w:lang w:val="en-US"/>
        </w:rPr>
        <w:t>" and includes all necessary data on performance of lectures and seminar occupations of a rate by that.</w:t>
      </w:r>
    </w:p>
    <w:p w:rsidR="0068182D" w:rsidRPr="0068182D" w:rsidRDefault="0068182D" w:rsidP="0068182D">
      <w:pPr>
        <w:keepNext/>
        <w:keepLines/>
        <w:autoSpaceDE w:val="0"/>
        <w:autoSpaceDN w:val="0"/>
        <w:adjustRightInd w:val="0"/>
        <w:spacing w:after="0" w:line="240" w:lineRule="auto"/>
        <w:jc w:val="both"/>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Textbook is intended for students of specialty 5B050900 – Finance.</w:t>
      </w:r>
    </w:p>
    <w:p w:rsidR="0068182D" w:rsidRPr="0068182D" w:rsidRDefault="0068182D" w:rsidP="0068182D">
      <w:pPr>
        <w:keepNext/>
        <w:keepLines/>
        <w:autoSpaceDE w:val="0"/>
        <w:autoSpaceDN w:val="0"/>
        <w:adjustRightInd w:val="0"/>
        <w:spacing w:after="0" w:line="240" w:lineRule="auto"/>
        <w:jc w:val="both"/>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both"/>
        <w:rPr>
          <w:rFonts w:ascii="Times New Roman" w:hAnsi="Times New Roman" w:cs="Times New Roman"/>
          <w:bCs/>
          <w:sz w:val="28"/>
          <w:szCs w:val="28"/>
          <w:lang w:val="en-US"/>
        </w:rPr>
      </w:pPr>
      <w:r w:rsidRPr="0068182D">
        <w:rPr>
          <w:rFonts w:ascii="Times New Roman" w:hAnsi="Times New Roman" w:cs="Times New Roman"/>
          <w:b/>
          <w:bCs/>
          <w:sz w:val="28"/>
          <w:szCs w:val="28"/>
          <w:lang w:val="en-US"/>
        </w:rPr>
        <w:t xml:space="preserve">Reviewers: </w:t>
      </w:r>
      <w:r>
        <w:rPr>
          <w:rFonts w:ascii="Times New Roman" w:hAnsi="Times New Roman" w:cs="Times New Roman"/>
          <w:sz w:val="28"/>
          <w:szCs w:val="28"/>
          <w:lang w:val="en-US"/>
        </w:rPr>
        <w:t>A</w:t>
      </w:r>
      <w:r w:rsidRPr="0068182D">
        <w:rPr>
          <w:rFonts w:ascii="Times New Roman" w:hAnsi="Times New Roman" w:cs="Times New Roman"/>
          <w:sz w:val="28"/>
          <w:szCs w:val="28"/>
          <w:lang w:val="en-US"/>
        </w:rPr>
        <w:t>.</w:t>
      </w:r>
      <w:r>
        <w:rPr>
          <w:rFonts w:ascii="Times New Roman" w:hAnsi="Times New Roman" w:cs="Times New Roman"/>
          <w:sz w:val="28"/>
          <w:szCs w:val="28"/>
          <w:lang w:val="en-US"/>
        </w:rPr>
        <w:t>Yessirkepova</w:t>
      </w:r>
      <w:r w:rsidRPr="0068182D">
        <w:rPr>
          <w:rFonts w:ascii="Times New Roman" w:hAnsi="Times New Roman" w:cs="Times New Roman"/>
          <w:sz w:val="28"/>
          <w:szCs w:val="28"/>
          <w:lang w:val="en-US"/>
        </w:rPr>
        <w:t xml:space="preserve"> - Doctor of Economical Sciences, Professor, </w:t>
      </w:r>
      <w:r>
        <w:rPr>
          <w:rFonts w:ascii="Times New Roman" w:hAnsi="Times New Roman" w:cs="Times New Roman"/>
          <w:sz w:val="28"/>
          <w:szCs w:val="28"/>
          <w:lang w:val="en-US"/>
        </w:rPr>
        <w:t xml:space="preserve">Director of </w:t>
      </w:r>
      <w:r w:rsidR="003B04D9">
        <w:rPr>
          <w:rFonts w:ascii="Times New Roman" w:hAnsi="Times New Roman" w:cs="Times New Roman"/>
          <w:sz w:val="28"/>
          <w:szCs w:val="28"/>
          <w:lang w:val="en-US"/>
        </w:rPr>
        <w:t>Problem of regional economy Scientific and Research Institute</w:t>
      </w:r>
      <w:r w:rsidRPr="0068182D">
        <w:rPr>
          <w:rFonts w:ascii="Times New Roman" w:hAnsi="Times New Roman" w:cs="Times New Roman"/>
          <w:bCs/>
          <w:sz w:val="28"/>
          <w:szCs w:val="28"/>
          <w:lang w:val="en-US"/>
        </w:rPr>
        <w:t xml:space="preserve"> of M.Auezov SKSU</w:t>
      </w:r>
    </w:p>
    <w:p w:rsidR="0068182D" w:rsidRPr="0068182D" w:rsidRDefault="0068182D" w:rsidP="0068182D">
      <w:pPr>
        <w:keepNext/>
        <w:keepLines/>
        <w:autoSpaceDE w:val="0"/>
        <w:autoSpaceDN w:val="0"/>
        <w:adjustRightInd w:val="0"/>
        <w:spacing w:after="0" w:line="240" w:lineRule="auto"/>
        <w:jc w:val="both"/>
        <w:rPr>
          <w:rFonts w:ascii="Times New Roman" w:hAnsi="Times New Roman" w:cs="Times New Roman"/>
          <w:sz w:val="28"/>
          <w:szCs w:val="28"/>
          <w:lang w:val="en-US"/>
        </w:rPr>
      </w:pPr>
      <w:r w:rsidRPr="0068182D">
        <w:rPr>
          <w:rFonts w:ascii="Times New Roman" w:hAnsi="Times New Roman" w:cs="Times New Roman"/>
          <w:bCs/>
          <w:sz w:val="28"/>
          <w:szCs w:val="28"/>
          <w:lang w:val="en-US"/>
        </w:rPr>
        <w:t>A.Kuralbayeva –</w:t>
      </w:r>
      <w:r w:rsidRPr="0068182D">
        <w:rPr>
          <w:rFonts w:ascii="Times New Roman" w:hAnsi="Times New Roman" w:cs="Times New Roman"/>
          <w:sz w:val="28"/>
          <w:szCs w:val="28"/>
          <w:lang w:val="en-US"/>
        </w:rPr>
        <w:t xml:space="preserve"> Doctor of Economical Sciences, Professor, Economics and Business</w:t>
      </w:r>
      <w:r w:rsidR="00F3231B">
        <w:rPr>
          <w:rFonts w:ascii="Times New Roman" w:hAnsi="Times New Roman" w:cs="Times New Roman"/>
          <w:sz w:val="28"/>
          <w:szCs w:val="28"/>
          <w:lang w:val="en-US"/>
        </w:rPr>
        <w:t xml:space="preserve"> C</w:t>
      </w:r>
      <w:r w:rsidRPr="0068182D">
        <w:rPr>
          <w:rFonts w:ascii="Times New Roman" w:hAnsi="Times New Roman" w:cs="Times New Roman"/>
          <w:sz w:val="28"/>
          <w:szCs w:val="28"/>
          <w:lang w:val="en-US"/>
        </w:rPr>
        <w:t>hair, S</w:t>
      </w:r>
      <w:r w:rsidR="001E3788">
        <w:rPr>
          <w:rFonts w:ascii="Times New Roman" w:hAnsi="Times New Roman" w:cs="Times New Roman"/>
          <w:sz w:val="28"/>
          <w:szCs w:val="28"/>
          <w:lang w:val="en-US"/>
        </w:rPr>
        <w:t>ilk Way International</w:t>
      </w:r>
      <w:r w:rsidRPr="0068182D">
        <w:rPr>
          <w:rFonts w:ascii="Times New Roman" w:hAnsi="Times New Roman" w:cs="Times New Roman"/>
          <w:sz w:val="28"/>
          <w:szCs w:val="28"/>
          <w:lang w:val="en-US"/>
        </w:rPr>
        <w:t xml:space="preserve"> University</w:t>
      </w:r>
    </w:p>
    <w:p w:rsidR="0068182D" w:rsidRPr="0068182D" w:rsidRDefault="0068182D" w:rsidP="0068182D">
      <w:pPr>
        <w:keepNext/>
        <w:keepLines/>
        <w:autoSpaceDE w:val="0"/>
        <w:autoSpaceDN w:val="0"/>
        <w:adjustRightInd w:val="0"/>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A.Kupeshev - Doctor of Economical Sciences, Professor of the </w:t>
      </w:r>
      <w:r w:rsidR="00F3231B">
        <w:rPr>
          <w:rFonts w:ascii="Times New Roman" w:hAnsi="Times New Roman" w:cs="Times New Roman"/>
          <w:sz w:val="28"/>
          <w:szCs w:val="28"/>
          <w:lang w:val="en-US"/>
        </w:rPr>
        <w:t>Management</w:t>
      </w:r>
      <w:r w:rsidRPr="0068182D">
        <w:rPr>
          <w:rFonts w:ascii="Times New Roman" w:hAnsi="Times New Roman" w:cs="Times New Roman"/>
          <w:sz w:val="28"/>
          <w:szCs w:val="28"/>
          <w:lang w:val="en-US"/>
        </w:rPr>
        <w:t xml:space="preserve"> and </w:t>
      </w:r>
      <w:r w:rsidR="00F3231B">
        <w:rPr>
          <w:rFonts w:ascii="Times New Roman" w:hAnsi="Times New Roman" w:cs="Times New Roman"/>
          <w:sz w:val="28"/>
          <w:szCs w:val="28"/>
          <w:lang w:val="en-US"/>
        </w:rPr>
        <w:t>Business C</w:t>
      </w:r>
      <w:r w:rsidRPr="0068182D">
        <w:rPr>
          <w:rFonts w:ascii="Times New Roman" w:hAnsi="Times New Roman" w:cs="Times New Roman"/>
          <w:sz w:val="28"/>
          <w:szCs w:val="28"/>
          <w:lang w:val="en-US"/>
        </w:rPr>
        <w:t>hair, Miras University</w:t>
      </w:r>
    </w:p>
    <w:p w:rsidR="0068182D" w:rsidRPr="0068182D" w:rsidRDefault="0068182D" w:rsidP="0068182D">
      <w:pPr>
        <w:keepNext/>
        <w:keepLines/>
        <w:autoSpaceDE w:val="0"/>
        <w:autoSpaceDN w:val="0"/>
        <w:adjustRightInd w:val="0"/>
        <w:spacing w:after="0" w:line="240" w:lineRule="auto"/>
        <w:jc w:val="both"/>
        <w:rPr>
          <w:rFonts w:ascii="Times New Roman" w:hAnsi="Times New Roman" w:cs="Times New Roman"/>
          <w:b/>
          <w:bCs/>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Textbook is recommended to edition by Methodical council of M.Auezov SKSU, the minute № </w:t>
      </w:r>
      <w:r w:rsidR="00F3231B">
        <w:rPr>
          <w:rFonts w:ascii="Times New Roman" w:hAnsi="Times New Roman" w:cs="Times New Roman"/>
          <w:sz w:val="28"/>
          <w:szCs w:val="28"/>
          <w:lang w:val="en-US"/>
        </w:rPr>
        <w:t>_</w:t>
      </w:r>
      <w:r w:rsidRPr="0068182D">
        <w:rPr>
          <w:rFonts w:ascii="Times New Roman" w:hAnsi="Times New Roman" w:cs="Times New Roman"/>
          <w:sz w:val="28"/>
          <w:szCs w:val="28"/>
          <w:lang w:val="en-US"/>
        </w:rPr>
        <w:t xml:space="preserve">, dated from </w:t>
      </w:r>
      <w:r w:rsidR="00F3231B">
        <w:rPr>
          <w:rFonts w:ascii="Times New Roman" w:hAnsi="Times New Roman" w:cs="Times New Roman"/>
          <w:sz w:val="28"/>
          <w:szCs w:val="28"/>
          <w:lang w:val="en-US"/>
        </w:rPr>
        <w:t>“__”________</w:t>
      </w:r>
      <w:r w:rsidRPr="0068182D">
        <w:rPr>
          <w:rFonts w:ascii="Times New Roman" w:hAnsi="Times New Roman" w:cs="Times New Roman"/>
          <w:sz w:val="28"/>
          <w:szCs w:val="28"/>
          <w:lang w:val="en-US"/>
        </w:rPr>
        <w:t xml:space="preserve"> 2018.</w:t>
      </w: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r w:rsidRPr="0068182D">
        <w:rPr>
          <w:rFonts w:ascii="Times New Roman" w:hAnsi="Times New Roman" w:cs="Times New Roman"/>
          <w:sz w:val="28"/>
          <w:szCs w:val="28"/>
          <w:lang w:val="en-US"/>
        </w:rPr>
        <w:t>ISBN</w:t>
      </w: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F3231B" w:rsidRDefault="00F3231B"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F3231B" w:rsidRDefault="00F3231B"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F3231B" w:rsidRDefault="00F3231B"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F3231B" w:rsidRDefault="00F3231B"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F3231B" w:rsidRDefault="00F3231B"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F3231B" w:rsidRDefault="00F3231B"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F3231B" w:rsidRDefault="00F3231B"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F3231B" w:rsidRPr="0068182D" w:rsidRDefault="00F3231B" w:rsidP="0068182D">
      <w:pPr>
        <w:keepNext/>
        <w:keepLines/>
        <w:autoSpaceDE w:val="0"/>
        <w:autoSpaceDN w:val="0"/>
        <w:adjustRightInd w:val="0"/>
        <w:spacing w:after="0" w:line="240" w:lineRule="auto"/>
        <w:rPr>
          <w:rFonts w:ascii="Times New Roman" w:hAnsi="Times New Roman" w:cs="Times New Roman"/>
          <w:sz w:val="28"/>
          <w:szCs w:val="28"/>
          <w:lang w:val="en-US"/>
        </w:rPr>
      </w:pPr>
    </w:p>
    <w:p w:rsidR="0068182D" w:rsidRPr="0068182D" w:rsidRDefault="0068182D" w:rsidP="0068182D">
      <w:pPr>
        <w:keepNext/>
        <w:keepLines/>
        <w:autoSpaceDE w:val="0"/>
        <w:autoSpaceDN w:val="0"/>
        <w:adjustRightInd w:val="0"/>
        <w:spacing w:after="0" w:line="240" w:lineRule="auto"/>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 M.Auezov South-Kazakhstan State University, 2018</w:t>
      </w:r>
    </w:p>
    <w:p w:rsidR="0068182D" w:rsidRPr="0068182D" w:rsidRDefault="0068182D" w:rsidP="0068182D">
      <w:pPr>
        <w:keepNext/>
        <w:keepLines/>
        <w:autoSpaceDE w:val="0"/>
        <w:autoSpaceDN w:val="0"/>
        <w:adjustRightInd w:val="0"/>
        <w:spacing w:after="0" w:line="240" w:lineRule="auto"/>
        <w:jc w:val="center"/>
        <w:rPr>
          <w:rFonts w:ascii="Times New Roman" w:hAnsi="Times New Roman" w:cs="Times New Roman"/>
          <w:sz w:val="28"/>
          <w:szCs w:val="28"/>
          <w:lang w:val="en-US"/>
        </w:rPr>
      </w:pPr>
    </w:p>
    <w:p w:rsidR="0068182D" w:rsidRPr="0068182D" w:rsidRDefault="00CD577A" w:rsidP="0068182D">
      <w:pPr>
        <w:keepNext/>
        <w:keepLines/>
        <w:autoSpaceDE w:val="0"/>
        <w:autoSpaceDN w:val="0"/>
        <w:adjustRightInd w:val="0"/>
        <w:spacing w:after="0" w:line="240" w:lineRule="auto"/>
        <w:jc w:val="both"/>
        <w:rPr>
          <w:rFonts w:ascii="Times New Roman" w:hAnsi="Times New Roman" w:cs="Times New Roman"/>
          <w:sz w:val="28"/>
          <w:szCs w:val="28"/>
          <w:lang w:val="en-US"/>
        </w:rPr>
      </w:pPr>
      <w:r w:rsidRPr="00CD577A">
        <w:rPr>
          <w:rFonts w:ascii="Times New Roman" w:hAnsi="Times New Roman" w:cs="Times New Roman"/>
          <w:b/>
          <w:noProof/>
          <w:sz w:val="28"/>
          <w:szCs w:val="28"/>
        </w:rPr>
        <w:pict>
          <v:rect id="_x0000_s1053" style="position:absolute;left:0;text-align:left;margin-left:226.1pt;margin-top:24.55pt;width:29.8pt;height:20.6pt;z-index:251657216" stroked="f"/>
        </w:pict>
      </w:r>
      <w:r w:rsidR="0068182D" w:rsidRPr="0068182D">
        <w:rPr>
          <w:rFonts w:ascii="Times New Roman" w:hAnsi="Times New Roman" w:cs="Times New Roman"/>
          <w:sz w:val="28"/>
          <w:szCs w:val="28"/>
          <w:lang w:val="en-US"/>
        </w:rPr>
        <w:t>G.Issayeva is responsible for release</w:t>
      </w:r>
    </w:p>
    <w:p w:rsidR="0068182D" w:rsidRPr="0068182D" w:rsidRDefault="0068182D" w:rsidP="00EC2893">
      <w:pPr>
        <w:keepNext/>
        <w:keepLines/>
        <w:autoSpaceDE w:val="0"/>
        <w:autoSpaceDN w:val="0"/>
        <w:adjustRightInd w:val="0"/>
        <w:spacing w:after="0" w:line="240" w:lineRule="auto"/>
        <w:jc w:val="center"/>
        <w:rPr>
          <w:rFonts w:ascii="Times New Roman" w:hAnsi="Times New Roman" w:cs="Times New Roman"/>
          <w:b/>
          <w:sz w:val="28"/>
          <w:szCs w:val="28"/>
          <w:lang w:val="en-US"/>
        </w:rPr>
      </w:pPr>
      <w:r w:rsidRPr="0068182D">
        <w:rPr>
          <w:rFonts w:ascii="Times New Roman" w:hAnsi="Times New Roman" w:cs="Times New Roman"/>
          <w:b/>
          <w:sz w:val="28"/>
          <w:szCs w:val="28"/>
          <w:lang w:val="en-US"/>
        </w:rPr>
        <w:t>INTRODUCTION</w:t>
      </w:r>
    </w:p>
    <w:p w:rsidR="0068182D" w:rsidRPr="0068182D" w:rsidRDefault="0068182D" w:rsidP="0068182D">
      <w:pPr>
        <w:keepNext/>
        <w:keepLines/>
        <w:spacing w:after="0" w:line="240" w:lineRule="auto"/>
        <w:ind w:firstLine="567"/>
        <w:jc w:val="both"/>
        <w:rPr>
          <w:rFonts w:ascii="Times New Roman" w:hAnsi="Times New Roman" w:cs="Times New Roman"/>
          <w:sz w:val="28"/>
          <w:szCs w:val="28"/>
          <w:lang w:val="en-US"/>
        </w:rPr>
      </w:pPr>
    </w:p>
    <w:p w:rsidR="00ED1147" w:rsidRPr="00CE63B1" w:rsidRDefault="00ED1147" w:rsidP="00ED1147">
      <w:pPr>
        <w:spacing w:after="0" w:line="240" w:lineRule="auto"/>
        <w:ind w:firstLine="567"/>
        <w:jc w:val="both"/>
        <w:rPr>
          <w:rFonts w:ascii="Times New Roman" w:hAnsi="Times New Roman" w:cs="Times New Roman"/>
          <w:sz w:val="28"/>
          <w:szCs w:val="28"/>
          <w:lang w:val="en-US"/>
        </w:rPr>
      </w:pPr>
      <w:r w:rsidRPr="00CE63B1">
        <w:rPr>
          <w:rFonts w:ascii="Times New Roman" w:hAnsi="Times New Roman" w:cs="Times New Roman"/>
          <w:sz w:val="28"/>
          <w:szCs w:val="28"/>
          <w:lang w:val="en-US"/>
        </w:rPr>
        <w:t xml:space="preserve">Study of the problems of public finance organizations in the various countries is one of the components of a successful acquisition of economic knowledge. The course "Finance foreign countries" is a theoretical academic disciplines complementary study course "Finance (theory and organization) '." The course includes analysis of the conceptual basis for the organization of public finances, as set out in the modern Western theories of scientists and economists; fundamentals of the financial systems of developed countries - the US, France. UK, Germany and Japan. </w:t>
      </w:r>
    </w:p>
    <w:p w:rsidR="00ED1147" w:rsidRPr="00CE63B1" w:rsidRDefault="00ED1147" w:rsidP="00ED1147">
      <w:pPr>
        <w:spacing w:after="0" w:line="240" w:lineRule="auto"/>
        <w:ind w:firstLine="567"/>
        <w:jc w:val="both"/>
        <w:rPr>
          <w:rFonts w:ascii="Times New Roman" w:hAnsi="Times New Roman" w:cs="Times New Roman"/>
          <w:sz w:val="28"/>
          <w:szCs w:val="28"/>
          <w:lang w:val="en-US"/>
        </w:rPr>
      </w:pPr>
      <w:r w:rsidRPr="00CE63B1">
        <w:rPr>
          <w:rFonts w:ascii="Times New Roman" w:hAnsi="Times New Roman" w:cs="Times New Roman"/>
          <w:sz w:val="28"/>
          <w:szCs w:val="28"/>
          <w:lang w:val="en-US"/>
        </w:rPr>
        <w:t xml:space="preserve">Selection of the Western European area, the US and Japan due to the fact that they determine priorities of economic development, reaching tangible success, are leaders of modern civilization. Thus the path to economic leadership in these countries is different. </w:t>
      </w:r>
    </w:p>
    <w:p w:rsidR="00ED1147" w:rsidRPr="00CE63B1" w:rsidRDefault="00ED1147" w:rsidP="00ED1147">
      <w:pPr>
        <w:spacing w:after="0" w:line="240" w:lineRule="auto"/>
        <w:ind w:firstLine="567"/>
        <w:jc w:val="both"/>
        <w:rPr>
          <w:rFonts w:ascii="Times New Roman" w:hAnsi="Times New Roman" w:cs="Times New Roman"/>
          <w:sz w:val="28"/>
          <w:szCs w:val="28"/>
          <w:lang w:val="en-US"/>
        </w:rPr>
      </w:pPr>
      <w:r w:rsidRPr="00CE63B1">
        <w:rPr>
          <w:rFonts w:ascii="Times New Roman" w:hAnsi="Times New Roman" w:cs="Times New Roman"/>
          <w:sz w:val="28"/>
          <w:szCs w:val="28"/>
          <w:lang w:val="en-US"/>
        </w:rPr>
        <w:t xml:space="preserve">Therefore, familiarity with the public finances in these countries begins with the milestones of development of their economies in the postwar period. </w:t>
      </w:r>
      <w:r w:rsidR="00562444">
        <w:rPr>
          <w:rFonts w:ascii="Times New Roman" w:hAnsi="Times New Roman" w:cs="Times New Roman"/>
          <w:sz w:val="28"/>
          <w:szCs w:val="28"/>
          <w:lang w:val="en-US"/>
        </w:rPr>
        <w:t>It is c</w:t>
      </w:r>
      <w:r w:rsidRPr="00CE63B1">
        <w:rPr>
          <w:rFonts w:ascii="Times New Roman" w:hAnsi="Times New Roman" w:cs="Times New Roman"/>
          <w:sz w:val="28"/>
          <w:szCs w:val="28"/>
          <w:lang w:val="en-US"/>
        </w:rPr>
        <w:t xml:space="preserve">onsidered separately as financial systems; structure of revenues and expenditures of the state budget; questions about the budget deficit and public debt; organization of taxation; financial management apparatus: the nature and importance of local finance; challenges of financial policy at the present stage. </w:t>
      </w:r>
    </w:p>
    <w:p w:rsidR="00ED1147" w:rsidRDefault="00ED1147" w:rsidP="00ED1147">
      <w:pPr>
        <w:spacing w:after="0" w:line="240" w:lineRule="auto"/>
        <w:ind w:firstLine="567"/>
        <w:jc w:val="both"/>
        <w:rPr>
          <w:rFonts w:ascii="Times New Roman" w:hAnsi="Times New Roman" w:cs="Times New Roman"/>
          <w:b/>
          <w:sz w:val="28"/>
          <w:szCs w:val="28"/>
          <w:lang w:val="en-US"/>
        </w:rPr>
      </w:pPr>
      <w:r w:rsidRPr="00CE63B1">
        <w:rPr>
          <w:rFonts w:ascii="Times New Roman" w:hAnsi="Times New Roman" w:cs="Times New Roman"/>
          <w:sz w:val="28"/>
          <w:szCs w:val="28"/>
          <w:lang w:val="en-US"/>
        </w:rPr>
        <w:t xml:space="preserve">To study this discipline is not only the study of the practice of the financial systems of some developed countries, but also the development of analytical thinking skills applicability of certain financial instruments in specific economic situations. Foreign experience in the organization of public finance is considered in the context of the research capabilities of its use in the domestic environment. </w:t>
      </w:r>
      <w:r w:rsidRPr="00CE63B1">
        <w:rPr>
          <w:rFonts w:ascii="Times New Roman" w:hAnsi="Times New Roman" w:cs="Times New Roman"/>
          <w:b/>
          <w:sz w:val="28"/>
          <w:szCs w:val="28"/>
          <w:lang w:val="en-US"/>
        </w:rPr>
        <w:t>      </w:t>
      </w:r>
    </w:p>
    <w:p w:rsidR="00ED1147" w:rsidRPr="00CE63B1" w:rsidRDefault="00ED1147" w:rsidP="00ED1147">
      <w:pPr>
        <w:spacing w:after="0" w:line="240" w:lineRule="auto"/>
        <w:ind w:firstLine="567"/>
        <w:jc w:val="both"/>
        <w:rPr>
          <w:rFonts w:ascii="Times New Roman" w:hAnsi="Times New Roman" w:cs="Times New Roman"/>
          <w:sz w:val="28"/>
          <w:szCs w:val="28"/>
          <w:lang w:val="en-US"/>
        </w:rPr>
      </w:pPr>
      <w:r w:rsidRPr="00CE63B1">
        <w:rPr>
          <w:rFonts w:ascii="Times New Roman" w:hAnsi="Times New Roman" w:cs="Times New Roman"/>
          <w:sz w:val="28"/>
          <w:szCs w:val="28"/>
          <w:lang w:val="en-US"/>
        </w:rPr>
        <w:t xml:space="preserve">The objectives of the course "Finance foreign countries" are: </w:t>
      </w:r>
    </w:p>
    <w:p w:rsidR="00ED1147" w:rsidRPr="00CE63B1" w:rsidRDefault="00ED1147" w:rsidP="00ED1147">
      <w:pPr>
        <w:spacing w:after="0" w:line="240" w:lineRule="auto"/>
        <w:ind w:firstLine="567"/>
        <w:jc w:val="both"/>
        <w:rPr>
          <w:rFonts w:ascii="Times New Roman" w:hAnsi="Times New Roman" w:cs="Times New Roman"/>
          <w:sz w:val="28"/>
          <w:szCs w:val="28"/>
          <w:lang w:val="en-US"/>
        </w:rPr>
      </w:pPr>
      <w:r w:rsidRPr="00CE63B1">
        <w:rPr>
          <w:rFonts w:ascii="Times New Roman" w:hAnsi="Times New Roman" w:cs="Times New Roman"/>
          <w:sz w:val="28"/>
          <w:szCs w:val="28"/>
          <w:lang w:val="en-US"/>
        </w:rPr>
        <w:t xml:space="preserve">1. Mastering the students theoretical knowledge about the financial system to foreign countries. </w:t>
      </w:r>
    </w:p>
    <w:p w:rsidR="00ED1147" w:rsidRPr="00CE63B1" w:rsidRDefault="00ED1147" w:rsidP="00ED1147">
      <w:pPr>
        <w:spacing w:after="0" w:line="240" w:lineRule="auto"/>
        <w:ind w:firstLine="567"/>
        <w:jc w:val="both"/>
        <w:rPr>
          <w:rFonts w:ascii="Times New Roman" w:hAnsi="Times New Roman" w:cs="Times New Roman"/>
          <w:sz w:val="28"/>
          <w:szCs w:val="28"/>
          <w:lang w:val="en-US"/>
        </w:rPr>
      </w:pPr>
      <w:r w:rsidRPr="00CE63B1">
        <w:rPr>
          <w:rFonts w:ascii="Times New Roman" w:hAnsi="Times New Roman" w:cs="Times New Roman"/>
          <w:sz w:val="28"/>
          <w:szCs w:val="28"/>
          <w:lang w:val="en-US"/>
        </w:rPr>
        <w:t xml:space="preserve">2. Disclosure of cash and monetary system states. </w:t>
      </w:r>
    </w:p>
    <w:p w:rsidR="00ED1147" w:rsidRPr="00CE63B1" w:rsidRDefault="00ED1147" w:rsidP="00ED1147">
      <w:pPr>
        <w:spacing w:after="0" w:line="240" w:lineRule="auto"/>
        <w:ind w:firstLine="567"/>
        <w:jc w:val="both"/>
        <w:rPr>
          <w:rFonts w:ascii="Times New Roman" w:hAnsi="Times New Roman" w:cs="Times New Roman"/>
          <w:sz w:val="28"/>
          <w:szCs w:val="28"/>
          <w:lang w:val="en-US"/>
        </w:rPr>
      </w:pPr>
      <w:r w:rsidRPr="00CE63B1">
        <w:rPr>
          <w:rFonts w:ascii="Times New Roman" w:hAnsi="Times New Roman" w:cs="Times New Roman"/>
          <w:sz w:val="28"/>
          <w:szCs w:val="28"/>
          <w:lang w:val="en-US"/>
        </w:rPr>
        <w:t xml:space="preserve">3. Study of the budget and tax systems of foreign countries </w:t>
      </w:r>
    </w:p>
    <w:p w:rsidR="00ED1147" w:rsidRPr="00CE63B1" w:rsidRDefault="00ED1147" w:rsidP="00ED1147">
      <w:pPr>
        <w:spacing w:after="0" w:line="240" w:lineRule="auto"/>
        <w:ind w:firstLine="567"/>
        <w:jc w:val="both"/>
        <w:rPr>
          <w:rFonts w:ascii="Times New Roman" w:hAnsi="Times New Roman" w:cs="Times New Roman"/>
          <w:sz w:val="28"/>
          <w:szCs w:val="28"/>
          <w:lang w:val="en-US"/>
        </w:rPr>
      </w:pPr>
      <w:r w:rsidRPr="00CE63B1">
        <w:rPr>
          <w:rFonts w:ascii="Times New Roman" w:hAnsi="Times New Roman" w:cs="Times New Roman"/>
          <w:sz w:val="28"/>
          <w:szCs w:val="28"/>
          <w:lang w:val="en-US"/>
        </w:rPr>
        <w:t xml:space="preserve">4. Consideration of the urgent problems of finance in the modern world. </w:t>
      </w:r>
    </w:p>
    <w:p w:rsidR="00ED1147" w:rsidRPr="00CE63B1" w:rsidRDefault="00ED1147" w:rsidP="00ED1147">
      <w:pPr>
        <w:spacing w:after="0" w:line="240" w:lineRule="auto"/>
        <w:ind w:firstLine="567"/>
        <w:jc w:val="both"/>
        <w:rPr>
          <w:rFonts w:ascii="Times New Roman" w:hAnsi="Times New Roman" w:cs="Times New Roman"/>
          <w:sz w:val="28"/>
          <w:szCs w:val="28"/>
          <w:lang w:val="en-US"/>
        </w:rPr>
      </w:pPr>
      <w:r w:rsidRPr="00CE63B1">
        <w:rPr>
          <w:rFonts w:ascii="Times New Roman" w:hAnsi="Times New Roman" w:cs="Times New Roman"/>
          <w:sz w:val="28"/>
          <w:szCs w:val="28"/>
          <w:lang w:val="en-US"/>
        </w:rPr>
        <w:t xml:space="preserve">5. The concept of financial management and control. </w:t>
      </w:r>
    </w:p>
    <w:p w:rsidR="00ED1147" w:rsidRPr="00CE63B1" w:rsidRDefault="00ED1147" w:rsidP="00ED1147">
      <w:pPr>
        <w:spacing w:after="0" w:line="240" w:lineRule="auto"/>
        <w:ind w:firstLine="567"/>
        <w:jc w:val="both"/>
        <w:rPr>
          <w:rFonts w:ascii="Times New Roman" w:hAnsi="Times New Roman" w:cs="Times New Roman"/>
          <w:sz w:val="28"/>
          <w:szCs w:val="28"/>
          <w:lang w:val="en-US"/>
        </w:rPr>
      </w:pPr>
      <w:r w:rsidRPr="00CE63B1">
        <w:rPr>
          <w:rFonts w:ascii="Times New Roman" w:hAnsi="Times New Roman" w:cs="Times New Roman"/>
          <w:sz w:val="28"/>
          <w:szCs w:val="28"/>
          <w:lang w:val="en-US"/>
        </w:rPr>
        <w:t xml:space="preserve">This course is linked to the theoretical course "Finance foreign countries" and special education and special educational disciplines - "State Budget", "Finances of Enterprises and Organizations", "Insurance", "Financial Law" and others.        </w:t>
      </w:r>
    </w:p>
    <w:p w:rsidR="00ED1147" w:rsidRPr="00CE63B1" w:rsidRDefault="00ED1147" w:rsidP="00ED1147">
      <w:pPr>
        <w:spacing w:after="0" w:line="240" w:lineRule="auto"/>
        <w:ind w:firstLine="567"/>
        <w:jc w:val="both"/>
        <w:rPr>
          <w:rFonts w:ascii="Times New Roman" w:hAnsi="Times New Roman" w:cs="Times New Roman"/>
          <w:sz w:val="28"/>
          <w:szCs w:val="28"/>
          <w:lang w:val="en-US"/>
        </w:rPr>
      </w:pPr>
      <w:r w:rsidRPr="00CE63B1">
        <w:rPr>
          <w:rFonts w:ascii="Times New Roman" w:hAnsi="Times New Roman" w:cs="Times New Roman"/>
          <w:sz w:val="28"/>
          <w:szCs w:val="28"/>
          <w:lang w:val="en-US"/>
        </w:rPr>
        <w:t xml:space="preserve">"Finance foreign countries" - profiling course, and his goal - to provide theoretical training of students in the assimilation of all financial categories and concepts, to understand their socio-economic content and value to justify the system and the structure of foreign finance, formation of the state budget and taxation system international relations. </w:t>
      </w:r>
    </w:p>
    <w:p w:rsidR="0068182D" w:rsidRPr="0068182D" w:rsidRDefault="0068182D" w:rsidP="0068182D">
      <w:pPr>
        <w:pStyle w:val="a6"/>
        <w:shd w:val="clear" w:color="auto" w:fill="FFFFFF"/>
        <w:spacing w:before="0" w:beforeAutospacing="0" w:after="0" w:afterAutospacing="0"/>
        <w:ind w:firstLine="709"/>
        <w:jc w:val="both"/>
        <w:rPr>
          <w:b/>
          <w:sz w:val="28"/>
          <w:szCs w:val="28"/>
          <w:lang w:val="en-US"/>
        </w:rPr>
      </w:pPr>
      <w:r w:rsidRPr="0068182D">
        <w:rPr>
          <w:sz w:val="28"/>
          <w:szCs w:val="28"/>
          <w:lang w:val="en-US"/>
        </w:rPr>
        <w:t>That’s why learn this discipline very important for students who study in 5B050900 – Finance specialty.</w:t>
      </w:r>
    </w:p>
    <w:p w:rsidR="006235D5" w:rsidRPr="0068182D" w:rsidRDefault="00A54848" w:rsidP="0068182D">
      <w:pPr>
        <w:pageBreakBefore/>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b/>
          <w:sz w:val="28"/>
          <w:szCs w:val="28"/>
          <w:lang w:val="en-US"/>
        </w:rPr>
        <w:t>Theme 1.</w:t>
      </w:r>
      <w:r w:rsidRPr="0068182D">
        <w:rPr>
          <w:rFonts w:ascii="Times New Roman" w:hAnsi="Times New Roman" w:cs="Times New Roman"/>
          <w:sz w:val="28"/>
          <w:szCs w:val="28"/>
          <w:lang w:val="en-US"/>
        </w:rPr>
        <w:t xml:space="preserve"> </w:t>
      </w:r>
      <w:r w:rsidRPr="0068182D">
        <w:rPr>
          <w:rFonts w:ascii="Times New Roman" w:hAnsi="Times New Roman" w:cs="Times New Roman"/>
          <w:b/>
          <w:sz w:val="28"/>
          <w:szCs w:val="28"/>
          <w:lang w:val="en-US"/>
        </w:rPr>
        <w:t>The essence of finance and financial policy</w:t>
      </w:r>
    </w:p>
    <w:p w:rsidR="006235D5" w:rsidRPr="0068182D" w:rsidRDefault="006235D5" w:rsidP="00C40532">
      <w:pPr>
        <w:spacing w:after="0" w:line="240" w:lineRule="auto"/>
        <w:ind w:firstLine="709"/>
        <w:jc w:val="both"/>
        <w:rPr>
          <w:rFonts w:ascii="Times New Roman" w:hAnsi="Times New Roman" w:cs="Times New Roman"/>
          <w:b/>
          <w:sz w:val="28"/>
          <w:szCs w:val="28"/>
          <w:lang w:val="en-US"/>
        </w:rPr>
      </w:pPr>
    </w:p>
    <w:p w:rsidR="00A54848" w:rsidRPr="0068182D" w:rsidRDefault="00A54848" w:rsidP="00C40532">
      <w:pPr>
        <w:pStyle w:val="a4"/>
        <w:numPr>
          <w:ilvl w:val="0"/>
          <w:numId w:val="1"/>
        </w:numPr>
        <w:spacing w:after="0" w:line="240" w:lineRule="auto"/>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Introduction . Science of the Financial System in Economic Sciences.</w:t>
      </w:r>
    </w:p>
    <w:p w:rsidR="00A54848" w:rsidRPr="0068182D" w:rsidRDefault="00A54848" w:rsidP="00C40532">
      <w:pPr>
        <w:pStyle w:val="a4"/>
        <w:numPr>
          <w:ilvl w:val="0"/>
          <w:numId w:val="1"/>
        </w:numPr>
        <w:spacing w:after="0" w:line="240" w:lineRule="auto"/>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 Subject and method of finance. Objects and subjects of financial relations.</w:t>
      </w:r>
    </w:p>
    <w:p w:rsidR="00A54848" w:rsidRPr="0068182D" w:rsidRDefault="00A54848" w:rsidP="00C40532">
      <w:pPr>
        <w:pStyle w:val="a4"/>
        <w:numPr>
          <w:ilvl w:val="0"/>
          <w:numId w:val="1"/>
        </w:numPr>
        <w:spacing w:after="0" w:line="240" w:lineRule="auto"/>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Category of "finance". </w:t>
      </w:r>
    </w:p>
    <w:p w:rsidR="00A54848" w:rsidRPr="0068182D" w:rsidRDefault="00A54848" w:rsidP="00C40532">
      <w:pPr>
        <w:pStyle w:val="a4"/>
        <w:numPr>
          <w:ilvl w:val="0"/>
          <w:numId w:val="1"/>
        </w:numPr>
        <w:spacing w:after="0" w:line="240" w:lineRule="auto"/>
        <w:rPr>
          <w:rFonts w:ascii="Times New Roman" w:hAnsi="Times New Roman" w:cs="Times New Roman"/>
          <w:b/>
          <w:sz w:val="28"/>
          <w:szCs w:val="28"/>
          <w:lang w:val="en-US"/>
        </w:rPr>
      </w:pPr>
      <w:r w:rsidRPr="0068182D">
        <w:rPr>
          <w:rFonts w:ascii="Times New Roman" w:hAnsi="Times New Roman" w:cs="Times New Roman"/>
          <w:b/>
          <w:sz w:val="28"/>
          <w:szCs w:val="28"/>
          <w:lang w:val="en-US"/>
        </w:rPr>
        <w:t>Public goods , benefi</w:t>
      </w:r>
      <w:r w:rsidR="004650D2" w:rsidRPr="0068182D">
        <w:rPr>
          <w:rFonts w:ascii="Times New Roman" w:hAnsi="Times New Roman" w:cs="Times New Roman"/>
          <w:b/>
          <w:sz w:val="28"/>
          <w:szCs w:val="28"/>
          <w:lang w:val="en-US"/>
        </w:rPr>
        <w:t>ts, services.</w:t>
      </w:r>
    </w:p>
    <w:p w:rsidR="00A54848" w:rsidRPr="0068182D" w:rsidRDefault="00A54848" w:rsidP="00C40532">
      <w:pPr>
        <w:pStyle w:val="a4"/>
        <w:numPr>
          <w:ilvl w:val="0"/>
          <w:numId w:val="1"/>
        </w:numPr>
        <w:spacing w:after="0" w:line="240" w:lineRule="auto"/>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Financial economic category as a value. Reproductive process and finances.</w:t>
      </w:r>
    </w:p>
    <w:p w:rsidR="00A54848" w:rsidRPr="0068182D" w:rsidRDefault="00A54848" w:rsidP="00C40532">
      <w:pPr>
        <w:spacing w:after="0" w:line="240" w:lineRule="auto"/>
        <w:ind w:firstLine="709"/>
        <w:jc w:val="both"/>
        <w:rPr>
          <w:rFonts w:ascii="Times New Roman" w:hAnsi="Times New Roman" w:cs="Times New Roman"/>
          <w:sz w:val="28"/>
          <w:szCs w:val="28"/>
          <w:lang w:val="en-US"/>
        </w:rPr>
      </w:pPr>
    </w:p>
    <w:p w:rsidR="00A47441" w:rsidRPr="0068182D" w:rsidRDefault="00A47441"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1. Introduction </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What role does finance have in the development of ma</w:t>
      </w:r>
      <w:r w:rsidR="00A54848" w:rsidRPr="0068182D">
        <w:rPr>
          <w:rFonts w:ascii="Times New Roman" w:hAnsi="Times New Roman" w:cs="Times New Roman"/>
          <w:sz w:val="28"/>
          <w:szCs w:val="28"/>
          <w:lang w:val="en-US"/>
        </w:rPr>
        <w:t xml:space="preserve">rket-based economies? Early on, </w:t>
      </w:r>
      <w:r w:rsidRPr="0068182D">
        <w:rPr>
          <w:rFonts w:ascii="Times New Roman" w:hAnsi="Times New Roman" w:cs="Times New Roman"/>
          <w:sz w:val="28"/>
          <w:szCs w:val="28"/>
          <w:lang w:val="en-US"/>
        </w:rPr>
        <w:t>politicians and economists alike emphasized the importance of the financial system for the rise of capitalism, industrialization, and economic development. Smith (1776) pointed to the role of money in lowering transaction costs, thus permitting greater specialization, and fostering technological innovation. Alexander Hamilton (1781), one of the founding fathers of the United States, argued that “banks were the happiest engines that ever were invented” for spurring economic growth. Joseph Schumpeter argued in 1911 that financial intermediaries play a pivotal role in economic development because they choose which firm</w:t>
      </w:r>
      <w:r w:rsidR="00106FFD" w:rsidRPr="0068182D">
        <w:rPr>
          <w:rFonts w:ascii="Times New Roman" w:hAnsi="Times New Roman" w:cs="Times New Roman"/>
          <w:sz w:val="28"/>
          <w:szCs w:val="28"/>
          <w:lang w:val="en-US"/>
        </w:rPr>
        <w:t>s get to use society’s savings.</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On the other hand, development economists for many decades have ignored the financial system and focused on other policy areas. Lucas (1988) described the role of finance in the growth process as overstated, and Robinson (1952) argued that financial development primarily follows economic growth. Following the seminal works by Goldsmith (1969), McKinnon (1973), and Shaw (1973), however, a large and still active theoretical and empirical literature has related financial development to the economic growth process. Empirical studies have found a positive impact of financial deepening on economic growth, statistically and economically significant. More recently, studies have related the development of the financial sector to other real sector outcomes, including the pattern of countries’ trade balance and changes in income distribution and poverty levels.</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same mechanisms that underpin the positive role of finance, however, are also a source of risk and fragility. The history of finance is full of boom-and-bust cycles, bank failures, and systemic bank and currency crises (Reinhart and Rogoff, 2009). Just as there is a comprehensive literature on the impact of finance on growth, there is an equally important literature that has explored the causes and socioeconomic costs of financial fragility, including systemic banking crises. Historic analyses and case studies have given way to more systemic cross-country explorations of idiosyncratic and systemic banking distress and their determinants. </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Given the importance of finance for growth, its inherent risks, and the large socioeconomic costs of banking crises, it is not surprising that the financial sector is often at the top of the policy agenda. However, the importance of access to credit as entry barrier into the real sector and the relative ease with which owners and creditors of financial institutions can be expropriated also makes financial sector policies an important tool in the political process. Subsidized credit programs and credit guarantees are often an easy and cheap tool of fiscal policy as they create contingent rather than real liabilities. The dependence of most real sector enterprises on access to external finance makes the financial sector critical in the attempt of ruling elites to entrench their socioeconomic dominance and prevent entry of competitors. The reliance of financial institutions and markets on contractual institutions makes them dependent on the political sphere.</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recent crisis has brought these issues to the forefront of the academic and also political debate. The crisis has also shed doubt on the previous findings of a positive impact of finance on growth. How much finance is good for growth? Are financial crises too high a price for having a thriving financial system? Are credit boom-and-bust cycles behind economic cycles? What is the politics behind financial development and fragility? </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financial sector depends as much as contractual institutions on property rights protection and thus the political structures of societies.</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p>
    <w:p w:rsidR="00A91A33" w:rsidRPr="0068182D" w:rsidRDefault="00A91A3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The role of financial systems in the economy</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systems, i.e. financial intermediaries and financial markets, channel funds from those who have savings to those who have more productive uses for them. They perform two main types of financial service that reduce the costs of moving funds between borrowers and lenders, leading to a more efficient allocation of resources and faster economic growth. These are the provision of liquidity and the transformation of the risk characteristics of assets.</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p>
    <w:p w:rsidR="00A91A33" w:rsidRPr="0068182D" w:rsidRDefault="00A91A33" w:rsidP="00C40532">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Provision of liquidity</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link between liquidity and economic performance arises because many high return investment projects require long-term commitments of capital, but risk adverse lenders (savers) are generally unwilling to delegate control over their savings to borrowers (investors) for long periods. Financial systems mobilise savings by agglomerating and pooling funds from disparate sources and creating small denomination instruments. These instruments provide opportunities for individuals to hold diversified portfolios. Without pooling individuals and households would have to buy and sell entire firms (Levine 1997).</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Diamond and Dybvig (1983) show how financial intermediaries can enhance risk sharing, which can be a precondition of liquidity, and can thus improve welfare. In their model, without an intermediary (such as a bank), all investors are locked into illiquid long-term investments that yield high payoffs only to those who consume at the end of the investment. Those who must consume early receive low payoffs because early consumption requires premature liquidation of long-term investments. When agents need to consume at different (random) times, an intermediary can improve risk sharing – by promising investors a higher payoff for early consumption and a lower payoff for late consumption relative to the non-intermediated case.</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Financial markets can also transform illiquid assets (long-term capital investments in illiquid production processes) into liquid liabilities (financial instrument). With liquid financial markets savers/lenders can hold assets like equity or bonds, which can be quickly and easily converted into purchasing power, if they need to access their savings. </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For lenders, the services performed by financial markets and intermediaries are substitutable around the desired risk, return and liquidity provided by particular investments. Financial intermediaries and markets make longer-term investments more attractive and facilitate investment in higher return, longer gestation investment and technologies. They provide different forms of finance to borrowers. Financial markets provide arms length debt or equity finance (to those firms able to access markets), often at a lower cost than finance from financial intermediaries.</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p>
    <w:p w:rsidR="00A91A33" w:rsidRPr="0068182D" w:rsidRDefault="00A91A33" w:rsidP="00C40532">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Transformation of the risk characteristics of assets</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second main service financial intermediaries and markets provide is the transformation of the risk characteristics of assets. Financial systems perform this function in at least two ways. First, they can enhance risk diversification and second, they resolve an information asymmetry problem that may otherwise prevent the exchange of goods and services, in this case the provision of capital (Akerlof 1970).</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systems facilitate risk-sharing by reducing information and transactions costs. If there are costs associated with the channelling of funds between borrowers and lenders, financial systems can reduce the costs of holding a diversified portfolio of assets. Intermediaries perform this role by taking advantage of economies of scale, markets do so by facilitating the broad offer and trade of assets comprising investors’ portfolios.</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systems can reduce information and transaction costs that arise from an information asymmetry between borrowers and lenders. In credit markets an information asymmetry arises because borrowers generally know more about their investment projects than lenders. A borrower may have an entrepreneurial “gut feeling” that can not be communicated to lenders, or more simply, may have information about a looming financial risk to their firm that they may not wish to share with past or potential lenders. An information asymmetry can occur ex ante or ex post. An ex ante information asymmetry arises when lenders can not differentiate between borrowers with different credit risks before providing a loan and leads to an adverse selection problem. Adverse selection problems arise when lenders are more likely to make a loan to high-risk borrowers, because those who are willing to pay high interest rates will, on average, be worse risks. The information asymmetry problem occurs ex post when only borrowers, but not lenders, can observe actual returns after project completion. This leads to a moral hazard problem. Moral hazard problems arise when borrowers engage in activities that reduce the likelihood of their loan being repaid. They also arise when borrowers take excessive risk because the costs may fall more on lenders compared to the benefits, which can be captured by borrowers.</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problem with imperfect information is that information is a “public good”. If costly privately-produced information can subsequently be used at less cost by other agents, there will be inadequate motivation to invest in the publicly optimal quantity of information (Hirshleifer and Riley 1979). The implication for financial intermediaries is as follows. Once financial intermediaries obtain information they must be able to obtain a market return on that information before any signalling of that information advantage results in it being bid away. If they can not prevent information from being revealed prior to obtaining that return, they will not commit the resources necessary to obtain it. One reason financial intermediaries can obtain information at a lower cost than individual lenders is that financial intermediation avoids duplication of the production of information faced by multiple individual lenders. Moreover, financial intermediaries develop special skills in evaluating prospective borrowers and investment projects. They can also exploit cross- customer information and re-use information over time. Financial intermediaries thus improve the screening of potential borrowers and investment projects before finance is committed and enforce monitoring and corporate control after investment projects have been funded. Financial intermediation thus leads to a more efficient allocation of capital. The information acquisition cost may be lowered further as financial intermediaries and borrowers develop long-run relationships (Petersen and Rajan 1994 and Faulkender and Petersen 2003).</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markets create their own incentives to acquire and process information for listed firms. The larger and more liquid financial markets become the more incentive market participants have to collect information about these firms. However, because information is quickly revealed in financial markets through posted prices, there may be less of an incentive to use private resources to acquire information. In financial markets information is aggregated and disseminated through published prices, which means that agents who do not undertake the costly process of ex ante screening and ex post monitoring, can freely observe the information obtained by other investors as reflected in financial prices. Rules and regulation, such as continuous disclosure requirements, can help encourage the production of information.</w:t>
      </w:r>
    </w:p>
    <w:p w:rsidR="00A91A33" w:rsidRPr="0068182D" w:rsidRDefault="00A91A3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intermediaries and financial markets resolve ex post information asymmetries and the resulting moral hazard problem by improving the ability of investors to directly evaluate the returns to projects by monitoring, by increasing the ability of investors to influence management decisions and by facilitating the takeover of poorly managed firms. When these issues are not well managed, investors will not be willing to delegate control of their savings to borrowers. Diamond (1984), for example, develops a model in which the returns from firms’ investment projects are not known ex post to external investors, unless information is gathered to assess the outcome, i.e. there is “costly state verification” (Townsend 1979). This leads to a moral hazard problem. Moral hazard arises when a borrower engages in activities that reduce the likelihood of a loan being repaid. For example, when firms’ owners “siphon off” funds (legally or illegally) to themselves or their associates through loss-making contracts signed with associated firms.</w:t>
      </w:r>
    </w:p>
    <w:p w:rsidR="00A54848" w:rsidRPr="0068182D" w:rsidRDefault="00A54848" w:rsidP="00C40532">
      <w:pPr>
        <w:spacing w:after="0" w:line="240" w:lineRule="auto"/>
        <w:ind w:firstLine="709"/>
        <w:jc w:val="both"/>
        <w:rPr>
          <w:rFonts w:ascii="Times New Roman" w:hAnsi="Times New Roman" w:cs="Times New Roman"/>
          <w:sz w:val="28"/>
          <w:szCs w:val="28"/>
          <w:lang w:val="en-US"/>
        </w:rPr>
      </w:pPr>
    </w:p>
    <w:p w:rsidR="004650D2" w:rsidRPr="0068182D" w:rsidRDefault="004650D2" w:rsidP="00C40532">
      <w:pPr>
        <w:pStyle w:val="a4"/>
        <w:numPr>
          <w:ilvl w:val="0"/>
          <w:numId w:val="7"/>
        </w:numPr>
        <w:spacing w:after="0" w:line="240" w:lineRule="auto"/>
        <w:rPr>
          <w:rFonts w:ascii="Times New Roman" w:hAnsi="Times New Roman" w:cs="Times New Roman"/>
          <w:b/>
          <w:sz w:val="28"/>
          <w:szCs w:val="28"/>
          <w:lang w:val="en-US"/>
        </w:rPr>
      </w:pPr>
      <w:r w:rsidRPr="0068182D">
        <w:rPr>
          <w:rFonts w:ascii="Times New Roman" w:hAnsi="Times New Roman" w:cs="Times New Roman"/>
          <w:b/>
          <w:sz w:val="28"/>
          <w:szCs w:val="28"/>
          <w:lang w:val="en-US"/>
        </w:rPr>
        <w:t>Subject and method of finance. Objects and subjects of financial relations.</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Finance is a field that deals with the study of investments. It includes the dynamics of assets and liabilities over time under conditions of different degrees of uncertainty and risk. Finance can also be defined as the science of money management. A key point in finance is the time value of money, which states that purchasing power of one unit of currency can vary over time. Finance aims to price assets based on their risk level and their expected rate of return. Finance can be broken into three different sub-categories: public finance, corporate finance and personal finance.</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b/>
          <w:sz w:val="28"/>
          <w:szCs w:val="28"/>
          <w:lang w:val="en-US"/>
        </w:rPr>
        <w:t>Personal finance</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Questions in personal finance revolve around:</w:t>
      </w:r>
    </w:p>
    <w:p w:rsidR="004650D2" w:rsidRPr="0068182D" w:rsidRDefault="004650D2" w:rsidP="00C40532">
      <w:pPr>
        <w:pStyle w:val="a4"/>
        <w:numPr>
          <w:ilvl w:val="0"/>
          <w:numId w:val="3"/>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Protection against unforeseen personal events, as well as events in the wider economies</w:t>
      </w:r>
    </w:p>
    <w:p w:rsidR="004650D2" w:rsidRPr="0068182D" w:rsidRDefault="004650D2" w:rsidP="00C40532">
      <w:pPr>
        <w:pStyle w:val="a4"/>
        <w:numPr>
          <w:ilvl w:val="0"/>
          <w:numId w:val="3"/>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Transference of family across generations (bequests and inheritance)</w:t>
      </w:r>
    </w:p>
    <w:p w:rsidR="004650D2" w:rsidRPr="0068182D" w:rsidRDefault="004650D2" w:rsidP="00C40532">
      <w:pPr>
        <w:pStyle w:val="a4"/>
        <w:numPr>
          <w:ilvl w:val="0"/>
          <w:numId w:val="3"/>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Effects of tax policies (tax subsidies and/or penalties) on management of personal finances</w:t>
      </w:r>
    </w:p>
    <w:p w:rsidR="004650D2" w:rsidRPr="0068182D" w:rsidRDefault="004650D2" w:rsidP="00C40532">
      <w:pPr>
        <w:pStyle w:val="a4"/>
        <w:numPr>
          <w:ilvl w:val="0"/>
          <w:numId w:val="3"/>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Effects of credit on individual financial standing</w:t>
      </w:r>
    </w:p>
    <w:p w:rsidR="004650D2" w:rsidRPr="0068182D" w:rsidRDefault="004650D2" w:rsidP="00C40532">
      <w:pPr>
        <w:pStyle w:val="a4"/>
        <w:numPr>
          <w:ilvl w:val="0"/>
          <w:numId w:val="3"/>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Development of a savings plan or financing for large purchases (auto, education, home)</w:t>
      </w:r>
    </w:p>
    <w:p w:rsidR="004650D2" w:rsidRPr="0068182D" w:rsidRDefault="004650D2" w:rsidP="00C40532">
      <w:pPr>
        <w:pStyle w:val="a4"/>
        <w:numPr>
          <w:ilvl w:val="0"/>
          <w:numId w:val="3"/>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Planning a secure financial future in an environment of economic instability</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Personal finance may involve paying for education, financing durable goods such as real estate and cars, buying insurance, e.g. health and property insurance, investing and saving for retirement.</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Personal finance may also involve paying for a loan, or debt obligations. The six key areas of personal financial planning, as suggested by the Financial Planning Standards Board, are:</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i/>
          <w:sz w:val="28"/>
          <w:szCs w:val="28"/>
          <w:lang w:val="en-US"/>
        </w:rPr>
        <w:t>Financial position</w:t>
      </w:r>
      <w:r w:rsidRPr="0068182D">
        <w:rPr>
          <w:rFonts w:ascii="Times New Roman" w:hAnsi="Times New Roman" w:cs="Times New Roman"/>
          <w:sz w:val="28"/>
          <w:szCs w:val="28"/>
          <w:lang w:val="en-US"/>
        </w:rPr>
        <w:t>: is concerned with understanding the personal resources available by examining net worth and household cash flow. Net worth is a person's balance sheet, calculated by adding up all assets under that person's control, minus all liabilities of the household, at one point in time. Household cash flow totals up all the expected sources of income within a year, minus all expected expenses within the same year. From this analysis, the financial planner can determine to what degree and in what time the personal goals can be accomplished.</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i/>
          <w:sz w:val="28"/>
          <w:szCs w:val="28"/>
          <w:lang w:val="en-US"/>
        </w:rPr>
        <w:t>Adequate protection</w:t>
      </w:r>
      <w:r w:rsidRPr="0068182D">
        <w:rPr>
          <w:rFonts w:ascii="Times New Roman" w:hAnsi="Times New Roman" w:cs="Times New Roman"/>
          <w:sz w:val="28"/>
          <w:szCs w:val="28"/>
          <w:lang w:val="en-US"/>
        </w:rPr>
        <w:t>: the analysis of how to protect a household from unforeseen risks. These risks can be divided into liability, property, death, disability, health and long term care. Some of these risks may be self-insurable, while most will require the purchase of an insurance contract. Determining how much insurance to get, at the most cost effective terms requires knowledge of the market for personal insurance. Business owners, professionals, athletes and entertainers require specialized insurance professionals to adequately protect themselves. Since insurance also enjoys some tax benefits, utilizing insurance investment products may be a critical piece of the overall investment planning.</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i/>
          <w:sz w:val="28"/>
          <w:szCs w:val="28"/>
          <w:lang w:val="en-US"/>
        </w:rPr>
        <w:t>Tax planning</w:t>
      </w:r>
      <w:r w:rsidRPr="0068182D">
        <w:rPr>
          <w:rFonts w:ascii="Times New Roman" w:hAnsi="Times New Roman" w:cs="Times New Roman"/>
          <w:sz w:val="28"/>
          <w:szCs w:val="28"/>
          <w:lang w:val="en-US"/>
        </w:rPr>
        <w:t>: typically the income tax is the single largest expense in a household. Managing taxes is not a question of if you will pay taxes, but when and how much. Government gives many incentives in the form of tax deductions and credits, which can be used to reduce the lifetime tax burden. Most modern governments use a progressive tax. Typically, as one's income grows, a higher marginal rate of tax must be paid. Understanding how to take advantage of the myriad tax breaks when planning one's personal finances can make a significant impact in which it can later save you money in the long term.</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i/>
          <w:sz w:val="28"/>
          <w:szCs w:val="28"/>
          <w:lang w:val="en-US"/>
        </w:rPr>
        <w:t>Investment and accumulation goals</w:t>
      </w:r>
      <w:r w:rsidRPr="0068182D">
        <w:rPr>
          <w:rFonts w:ascii="Times New Roman" w:hAnsi="Times New Roman" w:cs="Times New Roman"/>
          <w:sz w:val="28"/>
          <w:szCs w:val="28"/>
          <w:lang w:val="en-US"/>
        </w:rPr>
        <w:t>: planning how to accumulate enough money - for large purchases and life events - is what most people consider to be financial planning. Major reasons to accumulate assets include, purchasing a house or car, starting a business, paying for education expenses, and saving for retirement. Achieving these goals requires projecting what they will cost, and when you need to withdraw funds that will be necessary to be able to achieve these goals. A major risk to the household in achieving their accumulation goal is the rate of price increases over time, or inflation. Using net present value calculators, the financial planner will suggest a combination of asset earmarking and regular savings to be invested in a variety of investments. In order to overcome the rate of inflation, the investment portfolio has to get a higher rate of return, which typically will subject the portfolio to a number of risks. Managing these portfolio risks is most often accomplished using asset allocation, which seeks to diversify investment risk and opportunity. This asset allocation will prescribe a percentage allocation to be invested in stocks (either preferred stock and/or common stock), bonds (for example mutual bonds or government bonds, or corporate bonds), cash and alternative investments. The allocation should also take into consideration the personal risk profile of every investor, since risk attitudes vary from person to person.</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Retirement planning is the process of understanding how much it costs to live at retirement, and coming up with a plan to distribute assets to meet any income shortfall. Methods for retirement plan include taking advantage of government allowed structures to manage tax liability including: individual (IRA) structures, or employer sponsored retirement plans.</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Estate planning involves planning for the disposition of one's assets after death. Typically, there is a tax due to the state or federal government at one's death. Avoiding these taxes means that more of one's assets will be distributed to one's heirs. One can leave one's assets to family, friends or charitable groups.</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p>
    <w:p w:rsidR="004650D2" w:rsidRPr="0068182D" w:rsidRDefault="004650D2"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Corporate finance</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Corporate finance deals with the sources of funding and the capital structure of corporations and the actions that managers take to increase the value of the firm to the shareholders, as well as the tools and analysis used to allocate financial resources. Although it is in principle different from managerial finance which studies the financial management of all firms, rather than corporations alone, the main concepts in the study of corporate finance are applicable to the financial problems of all kinds of firms. Corporate finance generally involves balancing risk and profitability, while attempting to maximize an entity's assets, net incoming cash flow and the value of its stock, and generically entails three primary areas of capital resource allocation. In the first, "capital budgeting", management must choose which "projects" (if any) to undertake. The discipline of capital budgeting may employ standard business valuation techniques or even extend to real options valuation; see Financial modeling. The second, "sources of capital" relates to how these investments are to be funded: investment capital can be provided through different sources, such as by shareholders, in the form of equity (privately or via an initial public offering), creditors, often in the form of bonds, and the firm's operations (cash flow). Short-term funding or working capital is mostly provided by banks extending a line of credit. The balance between these elements forms the company's capital structure. The third, "the dividend policy", requires management to determine whether any unappropriated</w:t>
      </w:r>
      <w:r w:rsidR="00CF020A"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lang w:val="en-US"/>
        </w:rPr>
        <w:t>profit (excess cash) is to be retained for future investment / operational requirements, or instead to be distributed to shareholders, and if so in what form. Short term financial management is often termed "working capital management", and relates to cash-, inventory- and debtors management.</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Corporate finance also includes within its scope business valuation, stock investing, or investment management. An investment is an acquisition of an asset in the hope that it will maintain or increase its value over time that will in hope give back a higher rate of return when it comes to disbursing dividends. In investment management – in choosing a portfolio – one has to use financial analysis to determine what, how much and when to invest. To do this, a company must:</w:t>
      </w:r>
    </w:p>
    <w:p w:rsidR="004650D2" w:rsidRPr="0068182D" w:rsidRDefault="004650D2" w:rsidP="00C40532">
      <w:pPr>
        <w:pStyle w:val="a4"/>
        <w:numPr>
          <w:ilvl w:val="0"/>
          <w:numId w:val="4"/>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Identify relevant objectives and constraints: institution or individual goals, time horizon, risk aversion and tax considerations;</w:t>
      </w:r>
    </w:p>
    <w:p w:rsidR="004650D2" w:rsidRPr="0068182D" w:rsidRDefault="004650D2" w:rsidP="00C40532">
      <w:pPr>
        <w:pStyle w:val="a4"/>
        <w:numPr>
          <w:ilvl w:val="0"/>
          <w:numId w:val="4"/>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Identify the appropriate strategy: active versus passive hedging strategy</w:t>
      </w:r>
    </w:p>
    <w:p w:rsidR="004650D2" w:rsidRPr="0068182D" w:rsidRDefault="004650D2" w:rsidP="00C40532">
      <w:pPr>
        <w:pStyle w:val="a4"/>
        <w:numPr>
          <w:ilvl w:val="0"/>
          <w:numId w:val="4"/>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Measure the portfolio performance</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management overlaps with the financial function of the accounting profession. However, financial accounting is the reporting of historical financial information, while financial management is concerned with the allocation of capital resources to increase a firm's value to the shareholders and increase their rate of return on the investments.</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p>
    <w:p w:rsidR="004650D2" w:rsidRPr="0068182D" w:rsidRDefault="004650D2"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Financial services</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An entity whose income exceeds its expenditure can lend or invest the excess income to help that excess income produce more income in the future. Though on the other hand, an entity whose income is less than its expenditure can raise capital by borrowing or selling equity claims, decreasing its expenses, or increasing its income. The lender can find a borrower—a financial intermediary such as a bank—or buy notes or bonds (corporate bonds, government bonds, or mutual bonds) in the bond market. The lender receives interest, the borrower pays a higher interest than the lender receives, and the financial intermediary earns the difference for arranging the loan.</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 bank aggregates the activities of many borrowers and lenders. A bank accepts deposits from lenders, on which it pays interest. The bank then lends these deposits to borrowers. Banks allow borrowers and lenders, of different sizes, to coordinate their activity.</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Finance is used by individuals (personal finance), by governments (public finance), by businesses (corporate finance) and by a wide variety of other organizations such as including schools and non-profit organizations. In general, the goals of each of the above activities are achieved through the use of appropriate financial instruments and methodologies, with consideration to their institutional setting.</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Finance is one of the most important aspects of business management and includes analysis related to the use and acquisition of funds for the enterprise.</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corporate finance, a company's capital structure is the total mix of financing methods it uses to raise funds. One method is debt financing, which includes bank loans and bond sales. Another method is equity financing - the sale of stock by a company to investors, the original shareholders (they own a portion of the business) of a share. Ownership of a share gives the shareholder certain contractual rights and powers, which typically include the right to receive declared dividends and to vote the proxy on important matters (e.g., board elections). The owners of both bonds (either government bonds or corporate bonds) and stock (whether its preferred stock or common stock), may be institutional investors - financial institutions such as investment banks and pension funds  or private individuals, called private investors or retail investors.</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p>
    <w:p w:rsidR="004650D2" w:rsidRPr="0068182D" w:rsidRDefault="004650D2"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Public finance</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Public finance describes finance as related to sovereign states and sub-national entities (states/provinces, counties, municipalities, etc.) and related public entities (e.g. school districts) or agencies. It usually encompasses a long-term, strategic perspective regarding investment decisions that affect public entities. These long-term, strategic periods usually encompass five or more years. Public finance is primarily concerned with:</w:t>
      </w:r>
    </w:p>
    <w:p w:rsidR="004650D2" w:rsidRPr="0068182D" w:rsidRDefault="004650D2" w:rsidP="00C40532">
      <w:pPr>
        <w:pStyle w:val="a4"/>
        <w:numPr>
          <w:ilvl w:val="0"/>
          <w:numId w:val="5"/>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Identification of required expenditure of a public sector entity</w:t>
      </w:r>
    </w:p>
    <w:p w:rsidR="004650D2" w:rsidRPr="0068182D" w:rsidRDefault="004650D2" w:rsidP="00C40532">
      <w:pPr>
        <w:pStyle w:val="a4"/>
        <w:numPr>
          <w:ilvl w:val="0"/>
          <w:numId w:val="5"/>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Source(s) of that entity's revenue</w:t>
      </w:r>
    </w:p>
    <w:p w:rsidR="004650D2" w:rsidRPr="0068182D" w:rsidRDefault="004650D2" w:rsidP="00C40532">
      <w:pPr>
        <w:pStyle w:val="a4"/>
        <w:numPr>
          <w:ilvl w:val="0"/>
          <w:numId w:val="5"/>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budgeting process</w:t>
      </w:r>
    </w:p>
    <w:p w:rsidR="004650D2" w:rsidRPr="0068182D" w:rsidRDefault="004650D2" w:rsidP="00C40532">
      <w:pPr>
        <w:pStyle w:val="a4"/>
        <w:numPr>
          <w:ilvl w:val="0"/>
          <w:numId w:val="5"/>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Debt issuance (municipal bonds) for public works projects</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Central banks, such as the Federal Reserve System banks in the United States and Bank of England in the United Kingdom, are strong players in public finance, acting as lenders of last resort as well as strong influences on monetary and credit conditions in the economy.</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Finance is a relatively new and rapidly growing discipline that examines the acquisition and allocation of financial resources. Where financial accounting measures past performance, Finance as a discipline is forward-focused. It is largely about future planning for firms or investors.</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Finance consists of three interrelated subject areas:</w:t>
      </w:r>
    </w:p>
    <w:p w:rsidR="004650D2" w:rsidRPr="0068182D" w:rsidRDefault="004650D2" w:rsidP="00C40532">
      <w:pPr>
        <w:pStyle w:val="a4"/>
        <w:numPr>
          <w:ilvl w:val="0"/>
          <w:numId w:val="6"/>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corporate finance studies how firms raise and efficiently utilise funds obtained from lenders and shareholders</w:t>
      </w:r>
    </w:p>
    <w:p w:rsidR="004650D2" w:rsidRPr="0068182D" w:rsidRDefault="004650D2" w:rsidP="00C40532">
      <w:pPr>
        <w:pStyle w:val="a4"/>
        <w:numPr>
          <w:ilvl w:val="0"/>
          <w:numId w:val="6"/>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markets and institutions explores how the financial system facilitates the transfer of funds from savers and lenders to borrowers</w:t>
      </w:r>
    </w:p>
    <w:p w:rsidR="004650D2" w:rsidRPr="0068182D" w:rsidRDefault="004650D2" w:rsidP="00C40532">
      <w:pPr>
        <w:pStyle w:val="a4"/>
        <w:numPr>
          <w:ilvl w:val="0"/>
          <w:numId w:val="6"/>
        </w:num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investment analysis studies how investors choose securities and asset classes for their investment portfolios.</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All of these areas assess the trade-off between risk and reward and the valuation of both financial and capital assets.</w:t>
      </w:r>
    </w:p>
    <w:p w:rsidR="00A54848" w:rsidRPr="0068182D" w:rsidRDefault="00A54848" w:rsidP="00C40532">
      <w:pPr>
        <w:spacing w:after="0" w:line="240" w:lineRule="auto"/>
        <w:ind w:firstLine="709"/>
        <w:jc w:val="both"/>
        <w:rPr>
          <w:rFonts w:ascii="Times New Roman" w:hAnsi="Times New Roman" w:cs="Times New Roman"/>
          <w:sz w:val="28"/>
          <w:szCs w:val="28"/>
          <w:lang w:val="en-US"/>
        </w:rPr>
      </w:pPr>
    </w:p>
    <w:p w:rsidR="00A54848" w:rsidRPr="0068182D" w:rsidRDefault="00A54848" w:rsidP="00C40532">
      <w:pPr>
        <w:spacing w:after="0" w:line="240" w:lineRule="auto"/>
        <w:ind w:firstLine="709"/>
        <w:jc w:val="both"/>
        <w:rPr>
          <w:rFonts w:ascii="Times New Roman" w:hAnsi="Times New Roman" w:cs="Times New Roman"/>
          <w:sz w:val="28"/>
          <w:szCs w:val="28"/>
          <w:lang w:val="en-US"/>
        </w:rPr>
      </w:pPr>
    </w:p>
    <w:p w:rsidR="00A54848" w:rsidRPr="0068182D" w:rsidRDefault="00A54848" w:rsidP="00C40532">
      <w:pPr>
        <w:pStyle w:val="a4"/>
        <w:numPr>
          <w:ilvl w:val="0"/>
          <w:numId w:val="2"/>
        </w:numPr>
        <w:spacing w:after="0" w:line="240" w:lineRule="auto"/>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Category of "finance". </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What role does the financial sector play in market economies? How important is the financial sector in the growth process of countries? Over the past thirty years, a flourishing theoretical literature has explained the endogenous emergence of financial institutions and markets and has explored their impact on real sector outcomes, including economic growth and income inequality. Over the past twenty years, a still growing empirical literature has explored the effect of financial systems and their different segments on economic growth and other real sector variables. This literature has also explored the relative importance of banks and markets and the impact of financial sector development on other real sector outcomes. More recently, this literature has explored the distributional repercussions of financial deepening and the effect of broadening. I discuss each in turn.</w:t>
      </w:r>
    </w:p>
    <w:p w:rsidR="00A47441" w:rsidRPr="0068182D" w:rsidRDefault="00A47441"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Finance and Growth: Theory </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theoretical literature on financial intermediation has focused on two important dimensions. Why do financial markets and institutions exist? And what is their impact on savings, investment, and economic growth? I discuss each question in turn. </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At the core of the existence of financial institutions and markets are market frictions, which financial institutions and markets can help alleviate, such as asymmetric information between contractual partners resulting in agency problems and risks of illiquidity and default. </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Building on the insights by Stiglitz and Weiss (1983) on the importance of agency problems,</w:t>
      </w:r>
      <w:r w:rsidR="00A54848"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lang w:val="en-US"/>
        </w:rPr>
        <w:t>several articles have shown how financial institutions and markets can economize on screening and monitoring costs of many individual lenders and, by diversifying risk across many different projects, improve on a world without them. By pooling savings across a large number of savers with differently timed liquidity needs, financial institutions can help overcome liquidity risks and ultimately provide savers with a higher return. Similarly, more liquid financial markets increase incentives for investors to relinquish control over their savings, as they are able to access them through financial markets on an immediate basis, while at the same time earning higher returns. The emergence of financial institutions and markets can thus be explained by the gains for economic agents, a theoretical argument that is consistent with the historical observance that financial institutions and markets have arisen at an early stage of human history and especially as exchange of goods and services across larger geographical distances and within larger societies or between societies has become more prominent.</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endogenous emergence of financial institutions and markets does not in itself imply a positive impact on economic growth. A large theoretical literature, however, has</w:t>
      </w:r>
      <w:r w:rsidR="00A54848"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lang w:val="en-US"/>
        </w:rPr>
        <w:t xml:space="preserve">explored several channels through which financial systems can help increase economic growth rates, both through improved capital accumulation as through higher productivity growth. On a broader level, these theories have shown how financial markets can help overcome the market frictions of indivisible projects and inability to diversify risks that have held back development in many developing economies (Acemoglu and Zilibotti, 1997). </w:t>
      </w:r>
      <w:r w:rsidR="00A54848" w:rsidRPr="0068182D">
        <w:rPr>
          <w:rFonts w:ascii="Times New Roman" w:hAnsi="Times New Roman" w:cs="Times New Roman"/>
          <w:sz w:val="28"/>
          <w:szCs w:val="28"/>
          <w:lang w:val="en-US"/>
        </w:rPr>
        <w:t>We can</w:t>
      </w:r>
      <w:r w:rsidRPr="0068182D">
        <w:rPr>
          <w:rFonts w:ascii="Times New Roman" w:hAnsi="Times New Roman" w:cs="Times New Roman"/>
          <w:sz w:val="28"/>
          <w:szCs w:val="28"/>
          <w:lang w:val="en-US"/>
        </w:rPr>
        <w:t xml:space="preserve"> discuss these different channels in turn. </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First, and on a very basic level, financial systems can support the efficient exchange of goods and services by providing payment services and thus reducing transaction costs. Financial services can foster specialization by enabling more transactions, thus fostering productivity growth.</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Second, by pooling savings from many individual savers, financial institutions and markets can help overcome investment indivisibilities and allow exploiting scale economies.</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This does not necessarily have to be national financial institutions but can be local coalitions of investors, as was the case in the early days of the Industrial Revolution for infrastructure projects.</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Third, by economizing on screening and monitoring costs and thus allowing more investment projects to be financed and, ex ante, increasing the aggregate success probability, financial institutions and markets can ultimately have a positive impact on investment and resource allocation. Similarly, by identifying the entrepreneurs with the most promising technologies, financial intermediaries can also boost the rate of technological innovation and ultimately growth.</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A similar argument holds for financial markets: in larger and more liquid markets, agents have greater incentives to invest in research on enterprises and projects, which produces information that can be turned into trading gains, ultimately improving resource allocation.</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Fourth, both financial institutions and markets can help monitor enterprises and reduce agency problems within firms between management and majority and minority shareholders, again improving resource allocation. Debt instruments can reduce the amount of free cash available to firms and thus managerial slack (Aghion, Dewatripont, and Rey, 1999), while liquid stock exchanges can allow investors to monitor and discipline enterprises through the threat of takeovers and subsequent dismissal of management. Linking stock performance to manager compensation can help align the interests of managers with those of </w:t>
      </w:r>
      <w:r w:rsidR="00956001" w:rsidRPr="0068182D">
        <w:rPr>
          <w:rFonts w:ascii="Times New Roman" w:hAnsi="Times New Roman" w:cs="Times New Roman"/>
          <w:sz w:val="28"/>
          <w:szCs w:val="28"/>
          <w:lang w:val="en-US"/>
        </w:rPr>
        <w:t>owners,</w:t>
      </w:r>
      <w:r w:rsidR="00A54848"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lang w:val="en-US"/>
        </w:rPr>
        <w:t xml:space="preserve"> although it is important to define a proper benchmark. Similarly, as in the case of screening, financial institutions can economize on the costs of monitoring by functioning as </w:t>
      </w:r>
      <w:r w:rsidR="00956001" w:rsidRPr="0068182D">
        <w:rPr>
          <w:rFonts w:ascii="Times New Roman" w:hAnsi="Times New Roman" w:cs="Times New Roman"/>
          <w:sz w:val="28"/>
          <w:szCs w:val="28"/>
          <w:lang w:val="en-US"/>
        </w:rPr>
        <w:t>“delegated monitor.”</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Fifth, banks can also help reduce liquidity risk and thus enable long-term investment, as shown by Diamond and Dybvig (1983). By pooling savings of patient and impatient agents, financial institutions can transform short-term liabilities into long-term assets, enabling long-term investment and ultimately economic growth. Similarly, liquid markets can enable investment in long-term investment projects while at the same time allowing investors to have access to their savings at short-term notice (Levine, 1991). Financial institutions can also ease liquidity needs of enterprises, enabling long-term investment and R&amp;D activities.</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By building long-term relationships, financial institutions can further reduce monitoring costs. Both financial markets and institutions can thus improve resource allocation and productivity growth. By reducing control problems of investors vis-à-vis owners and managers of enterprises, improved corporate governance can also increase savings and capital accumulation. </w:t>
      </w:r>
    </w:p>
    <w:p w:rsidR="00A4744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Sixth, financial institutions and markets allow cross-sectional diversification across projects, allowing risky innovative activity while guaranteeing an ex ante contracted interest rate to savers (King and Levine, 1993b). Furthermore, aggregate risk that cannot be diversified away at a specific point in time can be diversified by long-living financial intermediaries over time (Allen and Gale, 1997). </w:t>
      </w:r>
    </w:p>
    <w:p w:rsidR="00956001" w:rsidRPr="0068182D" w:rsidRDefault="00A4744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Beyond theoretical models, economists have explained the take-off of the Industrial Revolution in some countries earlier than others to the availability of finance. Hicks (1969) argued that the Industrial Revolution in the United Kingdom was possible due to the developing British financial system. Although many inventions were made before the</w:t>
      </w:r>
      <w:r w:rsidR="00956001" w:rsidRPr="0068182D">
        <w:rPr>
          <w:rFonts w:ascii="Times New Roman" w:hAnsi="Times New Roman" w:cs="Times New Roman"/>
          <w:sz w:val="28"/>
          <w:szCs w:val="28"/>
          <w:lang w:val="en-US"/>
        </w:rPr>
        <w:t xml:space="preserve"> Industrial Revolution, liquid capital markets enabled investment into long-term projects that could use these inventions. Similarly, the Netherlands and the United States experienced financial deepening before their economic and political rise in the seventeenth and twentieth centuries, respectively. </w:t>
      </w:r>
    </w:p>
    <w:p w:rsidR="00956001" w:rsidRPr="0068182D" w:rsidRDefault="0095600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relationship between finance and growth is not a one-way street; rather, higher growth induced by financial deepening increases demand for financial services, ultimately resulting in a virtuous circle of economic and financial development (Greenwood and Jovanovic, 1990). This theoretical insight has also resulted in additional challenges for the empirical finance and growth literature, as a positive relationship between financial and economic development might reflect causation from economic to financial development. </w:t>
      </w:r>
    </w:p>
    <w:p w:rsidR="00A47441" w:rsidRPr="0068182D" w:rsidRDefault="0095600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Theory, however, is not unambiguous in predicting a positive impact of financial deepening on economic growth. Better resource allocation may depress saving rates enough such that overall growth rates actually drop with enhanced financial development.</w:t>
      </w:r>
    </w:p>
    <w:p w:rsidR="00956001" w:rsidRPr="0068182D" w:rsidRDefault="00956001"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This can happen if the income effect of higher interest rates is larger than the substitution effect.  The financial sector might also attract too many resources relative to the real sector, with negative repercussions for growth. Critically, the impact of finance on growth might vary across different levels of income per capita, with the positive relationship being strongest among low- and middle-income countries that are catching up to high-income countries in their productivity levels and fading away as countries approach the global productivity frontier (Aghion, Howitt, and Mayer-Foulkes, 2005). A somewhat separate but related discussion is that about the importance of financial sector development compared to other sectors and policies in explaining growth. This ambiguity has motivated a large empirical literature over the past twenty years, to which I turn now.</w:t>
      </w:r>
    </w:p>
    <w:p w:rsidR="004650D2" w:rsidRPr="0068182D" w:rsidRDefault="004650D2" w:rsidP="00C40532">
      <w:pPr>
        <w:pStyle w:val="a4"/>
        <w:numPr>
          <w:ilvl w:val="0"/>
          <w:numId w:val="2"/>
        </w:numPr>
        <w:spacing w:after="0" w:line="240" w:lineRule="auto"/>
        <w:rPr>
          <w:rFonts w:ascii="Times New Roman" w:hAnsi="Times New Roman" w:cs="Times New Roman"/>
          <w:b/>
          <w:sz w:val="28"/>
          <w:szCs w:val="28"/>
          <w:lang w:val="en-US"/>
        </w:rPr>
      </w:pPr>
      <w:r w:rsidRPr="0068182D">
        <w:rPr>
          <w:rFonts w:ascii="Times New Roman" w:hAnsi="Times New Roman" w:cs="Times New Roman"/>
          <w:b/>
          <w:sz w:val="28"/>
          <w:szCs w:val="28"/>
          <w:lang w:val="en-US"/>
        </w:rPr>
        <w:t>Public goods , benefits, services.</w:t>
      </w:r>
    </w:p>
    <w:p w:rsidR="00F06AE4" w:rsidRPr="0068182D" w:rsidRDefault="00F06AE4"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public economics there are two vital economic terms known as public and private goods. Here I will examine the public goods and the crucial characteristics that a public good is required to have, to be a public good as well as the issues and problems that it presents in the society when it comes to determining public policy for such goods.</w:t>
      </w:r>
    </w:p>
    <w:p w:rsidR="00F06AE4" w:rsidRPr="0068182D" w:rsidRDefault="00F06AE4"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Public goods are services provided by the government whose benefits extend to a group of individuals or the society as a whole. There are two different types of public goods. These include pure public goods and impure public goods. Several member of the society can consume pure public goods without diminishing in value to any individual by using particular services. The street signs are one of such examples, as they will not wear out even if large numbers of people are watching it. It would be extremely difficult to limit its use to one person or preventing other from looking at it. These goods are therefore non-profitable to be provided privately. The interest in these types of public goods can be traced back to classical economics. It is where "David Hume and Adam Smith agreed that government intervention is needed to supply goods and services characterized by collective benefits". If left to individuals or </w:t>
      </w:r>
      <w:r w:rsidR="00CC5919" w:rsidRPr="0068182D">
        <w:rPr>
          <w:rFonts w:ascii="Times New Roman" w:hAnsi="Times New Roman" w:cs="Times New Roman"/>
          <w:sz w:val="28"/>
          <w:szCs w:val="28"/>
          <w:lang w:val="en-US"/>
        </w:rPr>
        <w:t>organizations</w:t>
      </w:r>
      <w:r w:rsidRPr="0068182D">
        <w:rPr>
          <w:rFonts w:ascii="Times New Roman" w:hAnsi="Times New Roman" w:cs="Times New Roman"/>
          <w:sz w:val="28"/>
          <w:szCs w:val="28"/>
          <w:lang w:val="en-US"/>
        </w:rPr>
        <w:t>, these goods would not be provided adequately.</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There is also issue of externalities connected to the supply of public goods due to its non-excludability factor. For example pollution is a "public bad". It is where actions of people harm or benefit other people. For instance Victims of negative externalities can't practically charge polluters a fee for suffering, and beneficiaries of positive externalities can't practically be charged for their enjoyment due to spill over and R&amp;D. Public goods have two main characteristics that distinguish it from a private good. Pure public goods are non-rival in consumption and non-excludable. Pure public goods, consumption of which is non-rival if a person can increase its consumption without reducing the quantity available for other's consumption, when they are provided to the individual's. As a principle stated by "Sameulsion in 1954 one individual's consumption does not reduce the other's consumption "It implies that marginal cost of extending the service to additional individual user is zero". For example a non-rival good is terrestrial TV, Radio station and fireworks. Many people can consume those goods without paying for them, as marginal cost of extending the service is zero, as one-person's consumption does not diminish the use by other people.</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second characteristic is non-excludability. The "non-excludability of goods is where no one can prevent other person from the consumption of the good's because it might be expensive or impossible". For Example NHS service and civil defence in United Kingdom is considered to be a public service being non- excludable. Because when government spends money on civil defence it brings protection and safety to the society or individual regardless of their contribution or non-contributions to the country. As they are non-excludable therefore entry fee cannot be charged. These are provided free and to exclude individuals would be very costly and impossible to stop once it has been provided.</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David Hume pointed out that there is a "free-rider problem associated with public goods, even before the time of Adam Smith's writings. Each citizen who can enjoy the benefit of a public good has an incentive to try to lay the whole burden of provision on others, whenever the exclusion of non-payers is </w:t>
      </w:r>
      <w:r w:rsidR="004650D2" w:rsidRPr="0068182D">
        <w:rPr>
          <w:rFonts w:ascii="Times New Roman" w:hAnsi="Times New Roman" w:cs="Times New Roman"/>
          <w:sz w:val="28"/>
          <w:szCs w:val="28"/>
          <w:lang w:val="en-US"/>
        </w:rPr>
        <w:t>very costly or impossible."</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provision of pure public goods by so-called public sector is itself subject to government failures as externalities and public goods are often linked due to non-excludability factor that is a prominent feature of public goods. Pure public goods are seen as an extreme form of externality and have problems of efficiency in allocation of resources. Efficiency is defined by (Samuleson 1954), requires marginal rate of benefit to equalise to marginal cost of providing the good. "Simuleson argues that public goods cause market failure in the form of underproduction and over financing" caused by negative, positive externalities and the free rider problem. An example of a positive externality is that of a person who produces a utility and it affects other person's utility. If I don't take this into account and stop doing the activity, my satisfaction will be maximized but it has failed to take into its affect on the other person. It would result in an under- production from paretian point of view.</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Free riding refers to a problem where under production of goods or services provided by the public sector lead to Pareto inefficiency or where there is an excessive use of the public goods. It is relevant in the case where non-excludability and non-rivalry in consumption of public good by the consumer will establish the consumption of the goods without contributing towards its production. This leads to underproduction of public goods and gives rise to free riding. Potential users may wait for the good to be supplied and then consume the good for free. For example NHS is non-rivalry in consumption and non-excludable as non-payers can take a free ride and enjoy the benefits of consumption (free riders). This creates market failure as smaller amount of money is being regenerated into the health service. Thus there is less money for the government to invest into the health services. This results in hospitals having out dated equipment, decrease in hospital beds and cuts in hospital jobs.</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To solve the problems of such free riders we can look at following three issues as identified by McMillian: The first issue is that consumer may not be willing to pay for the good such as NHS. For example to solve this issue government can collect taxes for the provision of public goods and the problem might disappear by further restricting the d</w:t>
      </w:r>
      <w:r w:rsidR="004650D2" w:rsidRPr="0068182D">
        <w:rPr>
          <w:rFonts w:ascii="Times New Roman" w:hAnsi="Times New Roman" w:cs="Times New Roman"/>
          <w:sz w:val="28"/>
          <w:szCs w:val="28"/>
          <w:lang w:val="en-US"/>
        </w:rPr>
        <w:t>eals with free rider problem</w:t>
      </w:r>
      <w:r w:rsidRPr="0068182D">
        <w:rPr>
          <w:rFonts w:ascii="Times New Roman" w:hAnsi="Times New Roman" w:cs="Times New Roman"/>
          <w:sz w:val="28"/>
          <w:szCs w:val="28"/>
          <w:lang w:val="en-US"/>
        </w:rPr>
        <w:t>.</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second</w:t>
      </w:r>
      <w:r w:rsidR="00CC5919"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lang w:val="en-US"/>
        </w:rPr>
        <w:t xml:space="preserve"> issue; what is the optimal level of production that requires information on individual demand for public good. People can give false information about their taste as consumer might be hoping to bring about a non-Pareto optimal equilibrium that gives them higher utility. That is caused by lack of information as observed by Samuleson. It causes particular problems in the case of Non-rival good consumption aspect of public goods that leads to "Demand Revelation" problems, as consumer might not reveal their true marginal rate of substitution. Each person's marginal rate of substitution is different which is required to establish welfare maximization. This can lead to excessive supply of funds and inefficiently allocation of the goods as most public goods and services are financed through a process of taxation, having no choice. Optimal levels of expenditures are difficult to be established. The provision of public goods can easily be over-financed or under-financed.</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Demand revelation problem in the absence of perfect information. This can be solved by relaying on potential competition in the market in a way to </w:t>
      </w:r>
      <w:r w:rsidR="00CC5919" w:rsidRPr="0068182D">
        <w:rPr>
          <w:rFonts w:ascii="Times New Roman" w:hAnsi="Times New Roman" w:cs="Times New Roman"/>
          <w:sz w:val="28"/>
          <w:szCs w:val="28"/>
          <w:lang w:val="en-US"/>
        </w:rPr>
        <w:t>minimize</w:t>
      </w:r>
      <w:r w:rsidRPr="0068182D">
        <w:rPr>
          <w:rFonts w:ascii="Times New Roman" w:hAnsi="Times New Roman" w:cs="Times New Roman"/>
          <w:sz w:val="28"/>
          <w:szCs w:val="28"/>
          <w:lang w:val="en-US"/>
        </w:rPr>
        <w:t xml:space="preserve"> adverse impact of collusion or coalition. "[Tideman and Tullock (1976)] pointed out that Demand revelation is a superior for making choices. Principle person is given a choice of accepting a decision made without his participation or changing to whatever he wants by paying for it </w:t>
      </w:r>
      <w:r w:rsidR="004650D2" w:rsidRPr="0068182D">
        <w:rPr>
          <w:rFonts w:ascii="Times New Roman" w:hAnsi="Times New Roman" w:cs="Times New Roman"/>
          <w:sz w:val="28"/>
          <w:szCs w:val="28"/>
          <w:lang w:val="en-US"/>
        </w:rPr>
        <w:t>and having it done otherwise".</w:t>
      </w:r>
      <w:r w:rsidRPr="0068182D">
        <w:rPr>
          <w:rFonts w:ascii="Times New Roman" w:hAnsi="Times New Roman" w:cs="Times New Roman"/>
          <w:sz w:val="28"/>
          <w:szCs w:val="28"/>
          <w:lang w:val="en-US"/>
        </w:rPr>
        <w:t xml:space="preserve"> </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Furthermore government could simply make an estimate of the optimum output distribution of tax and permit them to do better. The "advantage of this approach is that it would provide the market with information that is otherwise not available to government." They can also use mechanism that has been designed to induce true preferences revelation under specific condition to attain efficient provision of public goods. For example "Clark (1971) demand revelation m</w:t>
      </w:r>
      <w:r w:rsidR="004650D2" w:rsidRPr="0068182D">
        <w:rPr>
          <w:rFonts w:ascii="Times New Roman" w:hAnsi="Times New Roman" w:cs="Times New Roman"/>
          <w:sz w:val="28"/>
          <w:szCs w:val="28"/>
          <w:lang w:val="en-US"/>
        </w:rPr>
        <w:t>echanism is one such mechanism"</w:t>
      </w:r>
      <w:r w:rsidRPr="0068182D">
        <w:rPr>
          <w:rFonts w:ascii="Times New Roman" w:hAnsi="Times New Roman" w:cs="Times New Roman"/>
          <w:sz w:val="28"/>
          <w:szCs w:val="28"/>
          <w:lang w:val="en-US"/>
        </w:rPr>
        <w:t>.</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third issue of free riding concern is as to what happens if the number of people grows larger in the economy. The issue can lead to under provision of services and goods. For example, problems like congestion costs arise, due to increase in number of users thus reducing the benefits to each individual. For example, the NHS, where the demand for healthcare is greater than supply; and in the absence of the price mechanism, demand is rationed through waiting lists. That waiting list reduces the benefits of individuals due to overcrowding as fewer resources like beds or doctors are available.</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Coasian solution could also be used to solve free rider problem, where theorem, suggests the idea that a legal system would be unnecessary for the regulation of externalities in a world without transaction. It is where beneficiaries come to an agreement that satisfies both parties, thus reaching a Pareto effect allocation of resources. For example a farmer's cattle are consuming the protective plants at the edge of another farmer field, which reduces his output. This is not necessary for the government to step in and force parties to act properly. It is in their own interest to come to an agreement, as costs of implementation could be higher for both parties. Therefore, they will be able to find an agreement that is Pareto efficient. Since long transaction costs will be too high.</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Societies have dealt with government provision of public goods and services in different ways. That could include where a representative could be elected and represent people preferences. Voting is a common way to decide the allocation of problems. Whether people vote on public issues or elected representatives decide the public goods and their provision. Under majority voting, maximum spending will be based on median voter that might not be an efficient level. The main issue of public good is that an individual is paying for someone else's consumption and sometime people don't pay enough.</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Provision of public goods will face economic difficulties. As non-rivalry forces will pose challenges in trying to define the optional level of supply. Given an increase in the number of consumers will enhance the level of aggregate well-being. Secondly the non-exclusive nature of a public good is the source of undersupply, since agents tend to hide their preferences. Efficient provision needs to take into account the costs of design and promotion of efficient collective action. Reaching optimum supply levels require not only financial resources, but also the incentives to get agents involved and the institutional responses to ensure effective fulfillment .The government can correct market failure and provide the socially optimal levels of public goods by financing the provision of public goods with tax revenue. Public financing of public goods may be the only option in cases where the public good is non-excludable.</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p>
    <w:p w:rsidR="004650D2" w:rsidRPr="0068182D" w:rsidRDefault="004650D2" w:rsidP="00C40532">
      <w:pPr>
        <w:pStyle w:val="a4"/>
        <w:numPr>
          <w:ilvl w:val="0"/>
          <w:numId w:val="2"/>
        </w:numPr>
        <w:spacing w:after="0" w:line="240" w:lineRule="auto"/>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Financial economic category as a value. Reproductive process and finances.</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economics is the branch of economics characterized by a "concentration on monetary activities", in which "money of one type or another is likely to ap</w:t>
      </w:r>
      <w:r w:rsidR="004650D2" w:rsidRPr="0068182D">
        <w:rPr>
          <w:rFonts w:ascii="Times New Roman" w:hAnsi="Times New Roman" w:cs="Times New Roman"/>
          <w:sz w:val="28"/>
          <w:szCs w:val="28"/>
          <w:lang w:val="en-US"/>
        </w:rPr>
        <w:t>pear on both sides of a trade".</w:t>
      </w:r>
      <w:r w:rsidRPr="0068182D">
        <w:rPr>
          <w:rFonts w:ascii="Times New Roman" w:hAnsi="Times New Roman" w:cs="Times New Roman"/>
          <w:sz w:val="28"/>
          <w:szCs w:val="28"/>
          <w:lang w:val="en-US"/>
        </w:rPr>
        <w:t xml:space="preserve"> Its concern is thus the interrelation of financial variables, such as prices, interest rates and shares, as opposed to those concerning the real economy. It has two main areas of focus: asset pricing (or "investment theory") and corporate finance; the first being the perspective of providers of capital and the second of users of capital.</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subject is concerned with "the allocation and deployment of economic resources, both spatially and across time, </w:t>
      </w:r>
      <w:r w:rsidR="004650D2" w:rsidRPr="0068182D">
        <w:rPr>
          <w:rFonts w:ascii="Times New Roman" w:hAnsi="Times New Roman" w:cs="Times New Roman"/>
          <w:sz w:val="28"/>
          <w:szCs w:val="28"/>
          <w:lang w:val="en-US"/>
        </w:rPr>
        <w:t>in an uncertain environment".</w:t>
      </w:r>
      <w:r w:rsidRPr="0068182D">
        <w:rPr>
          <w:rFonts w:ascii="Times New Roman" w:hAnsi="Times New Roman" w:cs="Times New Roman"/>
          <w:sz w:val="28"/>
          <w:szCs w:val="28"/>
          <w:lang w:val="en-US"/>
        </w:rPr>
        <w:t xml:space="preserve"> It therefore centers on decision making under uncertainty in the context of the financial markets, and the resultant economic and financial models and principles, and is concerned with deriving testable or policy implications from acceptable assumptions. It is built on the foundations of microeconomics and decision theory.</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econometrics is the branch of financial economics that uses econometric techniques to parameterise these relationships. Mathematical finance is related in that it will derive and extend the mathematical or numerical models suggested by financial economics. Note though that the emphasis there is mathematical consistency, as opposed to compatibility with economic theory.</w:t>
      </w:r>
    </w:p>
    <w:p w:rsidR="006235D5" w:rsidRPr="0068182D" w:rsidRDefault="006235D5"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Present valu</w:t>
      </w:r>
      <w:r w:rsidR="004650D2" w:rsidRPr="0068182D">
        <w:rPr>
          <w:rFonts w:ascii="Times New Roman" w:hAnsi="Times New Roman" w:cs="Times New Roman"/>
          <w:b/>
          <w:sz w:val="28"/>
          <w:szCs w:val="28"/>
          <w:lang w:val="en-US"/>
        </w:rPr>
        <w:t>e, expectation and utility</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Underlying all of financial economics are the concepts of p</w:t>
      </w:r>
      <w:r w:rsidR="004650D2" w:rsidRPr="0068182D">
        <w:rPr>
          <w:rFonts w:ascii="Times New Roman" w:hAnsi="Times New Roman" w:cs="Times New Roman"/>
          <w:sz w:val="28"/>
          <w:szCs w:val="28"/>
          <w:lang w:val="en-US"/>
        </w:rPr>
        <w:t>resent value and expectation.</w:t>
      </w:r>
      <w:r w:rsidRPr="0068182D">
        <w:rPr>
          <w:rFonts w:ascii="Times New Roman" w:hAnsi="Times New Roman" w:cs="Times New Roman"/>
          <w:sz w:val="28"/>
          <w:szCs w:val="28"/>
          <w:lang w:val="en-US"/>
        </w:rPr>
        <w:t xml:space="preserve"> Calculating their present value allows the decision maker to aggregate the cash flows (or other returns) to be produced by the asset in the future, to a single value at the date in question, and to thus more readily compare two opportunities; this concept is therefore the starting point for financial decision making. Its history is correspondingly early - it was developed in a book on compound interest by Richard Witt ("Arithmetical Questions" (1613)), and these ideas were further developed by Johan de Witt and Edmond Halley. An immediate extension is to then combine probabilities with present value, leading to the expected value criterion which sets asset value as a function of the sizes of the expected payouts and the probabilities of their occurrence. These ideas originate with Blaise Pascal and Pierre de Fermat.</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This decision method, however, fails to consider risk aversion ("as any student of finance knows"</w:t>
      </w:r>
      <w:r w:rsidR="004650D2" w:rsidRPr="0068182D">
        <w:rPr>
          <w:rFonts w:ascii="Times New Roman" w:hAnsi="Times New Roman" w:cs="Times New Roman"/>
          <w:sz w:val="28"/>
          <w:szCs w:val="28"/>
          <w:lang w:val="en-US"/>
        </w:rPr>
        <w:t>)</w:t>
      </w:r>
      <w:r w:rsidRPr="0068182D">
        <w:rPr>
          <w:rFonts w:ascii="Times New Roman" w:hAnsi="Times New Roman" w:cs="Times New Roman"/>
          <w:sz w:val="28"/>
          <w:szCs w:val="28"/>
          <w:lang w:val="en-US"/>
        </w:rPr>
        <w:t>. In other words, since individuals receive greater utility from an extra dollar when they are poor and less utility when comparatively rich, the approach is to therefore "adjust" the weight assigned to the various outcomes ("states") correspondingly. (Some investors may in fact be risk seeking as opposed to risk averse, but the same logic would apply). Choice under uncertainty here, may then be characterized as the maximization of expected utility. More formally, the resulting expected utility hypothesis states that, if certain axioms are satisfied, the subjective value associated with a gamble by an individual is that individual's statistical expectation of the valuations of the outcomes of that gamble. The impetus for these ideas arise from various inconsistencies observed under the expected value framework, such as the St. Petersburg paradox (see also Ellsberg paradox). The development here originally due to Daniel Bernoulli, and later formalized by John von Neumann and Oskar Morgenstern.</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p>
    <w:p w:rsidR="006235D5" w:rsidRPr="0068182D" w:rsidRDefault="006235D5"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Arbitrage-free </w:t>
      </w:r>
      <w:r w:rsidR="004650D2" w:rsidRPr="0068182D">
        <w:rPr>
          <w:rFonts w:ascii="Times New Roman" w:hAnsi="Times New Roman" w:cs="Times New Roman"/>
          <w:b/>
          <w:sz w:val="28"/>
          <w:szCs w:val="28"/>
          <w:lang w:val="en-US"/>
        </w:rPr>
        <w:t>pricing and equilibrium</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concepts of arbitrage-free “Rational” pricing and equilibrium are then coupled with the above to derive "classical" financial economics. Rational pricing is the assumption in financial economics that asset prices (and hence asset pricing models) will reflect the arbitrage-free price of the asset, as any deviation from this price will be "arbitraged away". This assumption is useful in pricing fixed income securities, particularly bonds, and is fundamental to the pricing of derivative instruments. Economic equilibrium is, in general, a state where economic forces such as supply and demand are balanced and in the absence of external influences these equilibrium values of economic variables will not change. General equilibrium deals with the behavior of supply, demand, and prices in a whole economy with several or many interacting markets, by seeking to prove that a set of prices exists that will result in an overall equilibrium (this is in contrast to partial equilibrium, which only analyzes single markets.)</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two concepts are linked as follows: Where market prices do not allow for profitable arbitrage, i.e. comprise an arbitrage-free market, so these prices are also said to constitute an "arbitrage equilibrium". Intuitively, this may be seen by considering that where an arbitrage opportunity does exist, then prices can be expected to change, and are, therefore, not in equilibrium. An arbitrage equilibrium is thus a precondition for a general economic equilibrium.</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immediate, and formal, extension of this idea, the Fundamental theorem of asset pricing, shows that under the above conditions we may conduct financial decisioning, applying (or constructing) a risk neutral probability measure; and further, the expected return of any security (or portfolio) equals the riskless return plus an “adjustment for risk,”</w:t>
      </w:r>
      <w:r w:rsidR="004650D2"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lang w:val="en-US"/>
        </w:rPr>
        <w:t xml:space="preserve"> i.e. a risk premium. All pricing models are then essentially a variant on this, given specific assumptio</w:t>
      </w:r>
      <w:r w:rsidR="004650D2" w:rsidRPr="0068182D">
        <w:rPr>
          <w:rFonts w:ascii="Times New Roman" w:hAnsi="Times New Roman" w:cs="Times New Roman"/>
          <w:sz w:val="28"/>
          <w:szCs w:val="28"/>
          <w:lang w:val="en-US"/>
        </w:rPr>
        <w:t>ns and / or conditions.</w:t>
      </w:r>
    </w:p>
    <w:p w:rsidR="004650D2" w:rsidRPr="0068182D" w:rsidRDefault="004650D2" w:rsidP="00C40532">
      <w:pPr>
        <w:spacing w:after="0" w:line="240" w:lineRule="auto"/>
        <w:ind w:firstLine="709"/>
        <w:jc w:val="both"/>
        <w:rPr>
          <w:rFonts w:ascii="Times New Roman" w:hAnsi="Times New Roman" w:cs="Times New Roman"/>
          <w:sz w:val="28"/>
          <w:szCs w:val="28"/>
          <w:lang w:val="en-US"/>
        </w:rPr>
      </w:pPr>
    </w:p>
    <w:p w:rsidR="006235D5" w:rsidRPr="0068182D" w:rsidRDefault="004650D2"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State prices</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With the above relationship established, the further specialized Arrow–Debreu model may be derived. This important result suggests that, under certain economic conditions, there must be a set of prices such that aggregate supplies will equal aggregate demands for every commodity in the economy. The analysis here is often undertaken assuming a Representative agent.</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Arrow–Debreu model applies to economies with maximally complete markets, in which there exists a market for every time period and forward prices for every commodity at all time periods. A direct extension, then, is the concept of a state price security (also called an Arrow-Debreu security), a contract that agrees to pay one unit of a numeraire (a currency or a commodity) if a particular state occurs at a particular time in the future and pays zero numeraire in all the other states. The price of this security is the state price of this particular state of the world. Correspondingly, the state price vector is the vector of state prices for all states.</w:t>
      </w:r>
    </w:p>
    <w:p w:rsidR="006235D5" w:rsidRPr="0068182D" w:rsidRDefault="006235D5"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State prices find immediate application in Financial Economics, as will be seen below: for example, any derivatives contract whose settlement value is a function of an underlying whose value is uncertain at contract date can be decomposed as a linear combination of its Arrow-Debreu securities, and thus as a weighted sum of its state prices. Analogously, for a continuous random variable indicating a continuum of possible states, the value is found by integrating over the state price density; see Stochastic discount factor. These concepts are extended to Martingale pricing and the related Risk-neutral measure.</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FF2DA0"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Control questions</w:t>
      </w:r>
    </w:p>
    <w:p w:rsidR="00FF2DA0" w:rsidRPr="0068182D" w:rsidRDefault="00FF2DA0" w:rsidP="000537F4">
      <w:pPr>
        <w:pStyle w:val="a4"/>
        <w:numPr>
          <w:ilvl w:val="0"/>
          <w:numId w:val="42"/>
        </w:numPr>
        <w:spacing w:after="0" w:line="240" w:lineRule="auto"/>
        <w:ind w:left="567" w:hanging="141"/>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Science of the Financial System in Economic Sciences.</w:t>
      </w:r>
    </w:p>
    <w:p w:rsidR="00FF2DA0" w:rsidRPr="0068182D" w:rsidRDefault="00FF2DA0" w:rsidP="000537F4">
      <w:pPr>
        <w:pStyle w:val="a4"/>
        <w:numPr>
          <w:ilvl w:val="0"/>
          <w:numId w:val="42"/>
        </w:numPr>
        <w:spacing w:after="0" w:line="240" w:lineRule="auto"/>
        <w:ind w:left="567" w:hanging="141"/>
        <w:rPr>
          <w:rFonts w:ascii="Times New Roman" w:hAnsi="Times New Roman" w:cs="Times New Roman"/>
          <w:sz w:val="28"/>
          <w:szCs w:val="28"/>
          <w:lang w:val="en-US"/>
        </w:rPr>
      </w:pPr>
      <w:r w:rsidRPr="0068182D">
        <w:rPr>
          <w:rFonts w:ascii="Times New Roman" w:hAnsi="Times New Roman" w:cs="Times New Roman"/>
          <w:sz w:val="28"/>
          <w:szCs w:val="28"/>
          <w:lang w:val="en-US"/>
        </w:rPr>
        <w:t>Subject and method of finance. Objects and subjects of financial relations.</w:t>
      </w:r>
    </w:p>
    <w:p w:rsidR="00FF2DA0" w:rsidRPr="0068182D" w:rsidRDefault="00FF2DA0" w:rsidP="000537F4">
      <w:pPr>
        <w:pStyle w:val="a4"/>
        <w:numPr>
          <w:ilvl w:val="0"/>
          <w:numId w:val="42"/>
        </w:numPr>
        <w:spacing w:after="0" w:line="240" w:lineRule="auto"/>
        <w:ind w:left="567" w:hanging="141"/>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Category of "finance". </w:t>
      </w:r>
    </w:p>
    <w:p w:rsidR="00FF2DA0" w:rsidRPr="0068182D" w:rsidRDefault="00FF2DA0" w:rsidP="000537F4">
      <w:pPr>
        <w:pStyle w:val="a4"/>
        <w:numPr>
          <w:ilvl w:val="0"/>
          <w:numId w:val="42"/>
        </w:numPr>
        <w:spacing w:after="0" w:line="240" w:lineRule="auto"/>
        <w:ind w:left="567" w:hanging="141"/>
        <w:rPr>
          <w:rFonts w:ascii="Times New Roman" w:hAnsi="Times New Roman" w:cs="Times New Roman"/>
          <w:sz w:val="28"/>
          <w:szCs w:val="28"/>
          <w:lang w:val="en-US"/>
        </w:rPr>
      </w:pPr>
      <w:r w:rsidRPr="0068182D">
        <w:rPr>
          <w:rFonts w:ascii="Times New Roman" w:hAnsi="Times New Roman" w:cs="Times New Roman"/>
          <w:sz w:val="28"/>
          <w:szCs w:val="28"/>
          <w:lang w:val="en-US"/>
        </w:rPr>
        <w:t>Public goods , benefits, services.</w:t>
      </w:r>
    </w:p>
    <w:p w:rsidR="00FF2DA0" w:rsidRPr="0068182D" w:rsidRDefault="00FF2DA0" w:rsidP="000537F4">
      <w:pPr>
        <w:pStyle w:val="a4"/>
        <w:numPr>
          <w:ilvl w:val="0"/>
          <w:numId w:val="42"/>
        </w:numPr>
        <w:spacing w:after="0" w:line="240" w:lineRule="auto"/>
        <w:ind w:left="567" w:hanging="141"/>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economic category as a value. Reproductive process and finances.</w:t>
      </w:r>
    </w:p>
    <w:p w:rsidR="00FF2DA0" w:rsidRPr="0068182D" w:rsidRDefault="00FF2DA0" w:rsidP="00C40532">
      <w:pPr>
        <w:spacing w:after="0" w:line="240" w:lineRule="auto"/>
        <w:ind w:firstLine="709"/>
        <w:jc w:val="both"/>
        <w:rPr>
          <w:rFonts w:ascii="Times New Roman" w:hAnsi="Times New Roman" w:cs="Times New Roman"/>
          <w:sz w:val="28"/>
          <w:szCs w:val="28"/>
          <w:lang w:val="en-US"/>
        </w:rPr>
      </w:pPr>
    </w:p>
    <w:p w:rsidR="00FF2DA0" w:rsidRPr="0068182D" w:rsidRDefault="00FF2DA0" w:rsidP="00C40532">
      <w:pPr>
        <w:shd w:val="clear" w:color="auto" w:fill="FFFFFF"/>
        <w:spacing w:after="0" w:line="240" w:lineRule="auto"/>
        <w:ind w:right="-284" w:firstLine="180"/>
        <w:jc w:val="center"/>
        <w:rPr>
          <w:rFonts w:ascii="Times New Roman" w:hAnsi="Times New Roman" w:cs="Times New Roman"/>
          <w:b/>
          <w:sz w:val="28"/>
          <w:szCs w:val="28"/>
          <w:lang w:val="en-US"/>
        </w:rPr>
      </w:pPr>
    </w:p>
    <w:p w:rsidR="004379E3" w:rsidRPr="0068182D" w:rsidRDefault="004379E3" w:rsidP="00FF2DA0">
      <w:pPr>
        <w:shd w:val="clear" w:color="auto" w:fill="FFFFFF"/>
        <w:spacing w:after="0" w:line="240" w:lineRule="auto"/>
        <w:ind w:firstLine="180"/>
        <w:jc w:val="center"/>
        <w:rPr>
          <w:rFonts w:ascii="Times New Roman" w:hAnsi="Times New Roman" w:cs="Times New Roman"/>
          <w:b/>
          <w:bCs/>
          <w:color w:val="000000"/>
          <w:sz w:val="28"/>
          <w:szCs w:val="28"/>
          <w:lang w:val="en-US"/>
        </w:rPr>
      </w:pPr>
      <w:r w:rsidRPr="0068182D">
        <w:rPr>
          <w:rFonts w:ascii="Times New Roman" w:hAnsi="Times New Roman" w:cs="Times New Roman"/>
          <w:b/>
          <w:sz w:val="28"/>
          <w:szCs w:val="28"/>
          <w:lang w:val="en-US"/>
        </w:rPr>
        <w:t xml:space="preserve">Theme  </w:t>
      </w:r>
      <w:r w:rsidRPr="0068182D">
        <w:rPr>
          <w:rFonts w:ascii="Times New Roman" w:hAnsi="Times New Roman" w:cs="Times New Roman"/>
          <w:b/>
          <w:sz w:val="28"/>
          <w:szCs w:val="28"/>
          <w:lang w:val="kk-KZ"/>
        </w:rPr>
        <w:t>2.</w:t>
      </w:r>
      <w:r w:rsidRPr="0068182D">
        <w:rPr>
          <w:rFonts w:ascii="Times New Roman" w:hAnsi="Times New Roman" w:cs="Times New Roman"/>
          <w:b/>
          <w:bCs/>
          <w:color w:val="000000"/>
          <w:sz w:val="28"/>
          <w:szCs w:val="28"/>
          <w:lang w:val="en-US"/>
        </w:rPr>
        <w:t xml:space="preserve"> </w:t>
      </w:r>
      <w:r w:rsidRPr="0068182D">
        <w:rPr>
          <w:rFonts w:ascii="Times New Roman" w:eastAsiaTheme="minorHAnsi" w:hAnsi="Times New Roman" w:cs="Times New Roman"/>
          <w:b/>
          <w:sz w:val="28"/>
          <w:szCs w:val="28"/>
          <w:lang w:val="en-US" w:eastAsia="en-US"/>
        </w:rPr>
        <w:t>Concept of Public Finance</w:t>
      </w:r>
    </w:p>
    <w:p w:rsidR="004379E3" w:rsidRPr="0068182D" w:rsidRDefault="004379E3" w:rsidP="00FF2DA0">
      <w:pPr>
        <w:shd w:val="clear" w:color="auto" w:fill="FFFFFF"/>
        <w:tabs>
          <w:tab w:val="left" w:pos="2895"/>
        </w:tabs>
        <w:spacing w:after="0" w:line="240" w:lineRule="auto"/>
        <w:ind w:firstLine="180"/>
        <w:rPr>
          <w:rFonts w:ascii="Times New Roman" w:hAnsi="Times New Roman" w:cs="Times New Roman"/>
          <w:sz w:val="28"/>
          <w:szCs w:val="28"/>
          <w:lang w:val="en-US"/>
        </w:rPr>
      </w:pPr>
      <w:r w:rsidRPr="0068182D">
        <w:rPr>
          <w:rFonts w:ascii="Times New Roman" w:hAnsi="Times New Roman" w:cs="Times New Roman"/>
          <w:sz w:val="28"/>
          <w:szCs w:val="28"/>
          <w:lang w:val="en-US"/>
        </w:rPr>
        <w:tab/>
      </w:r>
    </w:p>
    <w:p w:rsidR="004379E3" w:rsidRPr="0068182D" w:rsidRDefault="004379E3" w:rsidP="00FF2DA0">
      <w:pPr>
        <w:pStyle w:val="a4"/>
        <w:numPr>
          <w:ilvl w:val="0"/>
          <w:numId w:val="8"/>
        </w:numPr>
        <w:tabs>
          <w:tab w:val="left" w:pos="3309"/>
        </w:tabs>
        <w:autoSpaceDE w:val="0"/>
        <w:autoSpaceDN w:val="0"/>
        <w:adjustRightInd w:val="0"/>
        <w:spacing w:after="0" w:line="240" w:lineRule="auto"/>
        <w:jc w:val="both"/>
        <w:rPr>
          <w:rFonts w:ascii="Times New Roman" w:eastAsiaTheme="minorHAnsi" w:hAnsi="Times New Roman" w:cs="Times New Roman"/>
          <w:b/>
          <w:sz w:val="28"/>
          <w:szCs w:val="28"/>
          <w:lang w:val="en-US" w:eastAsia="en-US"/>
        </w:rPr>
      </w:pPr>
      <w:r w:rsidRPr="0068182D">
        <w:rPr>
          <w:rFonts w:ascii="Times New Roman" w:eastAsiaTheme="minorHAnsi" w:hAnsi="Times New Roman" w:cs="Times New Roman"/>
          <w:b/>
          <w:sz w:val="28"/>
          <w:szCs w:val="28"/>
          <w:lang w:val="en-US" w:eastAsia="en-US"/>
        </w:rPr>
        <w:t>Concept of Public Finance</w:t>
      </w:r>
    </w:p>
    <w:p w:rsidR="004379E3" w:rsidRPr="0068182D" w:rsidRDefault="004379E3" w:rsidP="00FF2DA0">
      <w:pPr>
        <w:pStyle w:val="a4"/>
        <w:numPr>
          <w:ilvl w:val="0"/>
          <w:numId w:val="8"/>
        </w:numPr>
        <w:tabs>
          <w:tab w:val="left" w:pos="3370"/>
        </w:tabs>
        <w:autoSpaceDE w:val="0"/>
        <w:autoSpaceDN w:val="0"/>
        <w:adjustRightInd w:val="0"/>
        <w:spacing w:after="0" w:line="240" w:lineRule="auto"/>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Financial concepts</w:t>
      </w:r>
    </w:p>
    <w:p w:rsidR="004379E3" w:rsidRPr="0068182D" w:rsidRDefault="004379E3" w:rsidP="00FF2DA0">
      <w:pPr>
        <w:pStyle w:val="a4"/>
        <w:numPr>
          <w:ilvl w:val="0"/>
          <w:numId w:val="8"/>
        </w:numPr>
        <w:tabs>
          <w:tab w:val="left" w:pos="3370"/>
        </w:tabs>
        <w:autoSpaceDE w:val="0"/>
        <w:autoSpaceDN w:val="0"/>
        <w:adjustRightInd w:val="0"/>
        <w:spacing w:after="0" w:line="240" w:lineRule="auto"/>
        <w:jc w:val="both"/>
        <w:rPr>
          <w:rFonts w:ascii="Times New Roman" w:hAnsi="Times New Roman" w:cs="Times New Roman"/>
          <w:b/>
          <w:sz w:val="28"/>
          <w:szCs w:val="28"/>
          <w:lang w:val="en-US"/>
        </w:rPr>
      </w:pPr>
      <w:r w:rsidRPr="0068182D">
        <w:rPr>
          <w:rFonts w:ascii="Times New Roman" w:eastAsia="Times New Roman" w:hAnsi="Times New Roman" w:cs="Times New Roman"/>
          <w:b/>
          <w:color w:val="000000"/>
          <w:sz w:val="28"/>
          <w:szCs w:val="28"/>
          <w:lang w:val="en-US"/>
        </w:rPr>
        <w:t xml:space="preserve">Public finances in </w:t>
      </w:r>
      <w:r w:rsidRPr="0068182D">
        <w:rPr>
          <w:rFonts w:ascii="Times New Roman" w:hAnsi="Times New Roman" w:cs="Times New Roman"/>
          <w:b/>
          <w:color w:val="000000"/>
          <w:sz w:val="28"/>
          <w:szCs w:val="28"/>
          <w:lang w:val="en-US"/>
        </w:rPr>
        <w:t>Keynesian Economics</w:t>
      </w:r>
    </w:p>
    <w:p w:rsidR="004379E3" w:rsidRPr="0068182D" w:rsidRDefault="004379E3" w:rsidP="00FF2DA0">
      <w:pPr>
        <w:pStyle w:val="a4"/>
        <w:numPr>
          <w:ilvl w:val="0"/>
          <w:numId w:val="8"/>
        </w:numPr>
        <w:spacing w:after="0" w:line="240" w:lineRule="auto"/>
        <w:rPr>
          <w:rFonts w:ascii="Times New Roman" w:hAnsi="Times New Roman" w:cs="Times New Roman"/>
          <w:sz w:val="28"/>
          <w:szCs w:val="28"/>
          <w:lang w:val="en-US"/>
        </w:rPr>
      </w:pPr>
      <w:r w:rsidRPr="0068182D">
        <w:rPr>
          <w:rFonts w:ascii="Times New Roman" w:eastAsia="Times New Roman" w:hAnsi="Times New Roman" w:cs="Times New Roman"/>
          <w:b/>
          <w:color w:val="000000"/>
          <w:sz w:val="28"/>
          <w:szCs w:val="28"/>
          <w:lang w:val="en-US"/>
        </w:rPr>
        <w:t>Modern neoclassical theory of public finance</w:t>
      </w:r>
      <w:r w:rsidRPr="0068182D">
        <w:rPr>
          <w:rFonts w:ascii="Times New Roman" w:eastAsia="Times New Roman" w:hAnsi="Times New Roman" w:cs="Times New Roman"/>
          <w:color w:val="000000"/>
          <w:sz w:val="28"/>
          <w:szCs w:val="28"/>
          <w:lang w:val="en-US"/>
        </w:rPr>
        <w:t xml:space="preserve"> </w:t>
      </w:r>
    </w:p>
    <w:p w:rsidR="004379E3" w:rsidRPr="0068182D" w:rsidRDefault="004379E3" w:rsidP="00FF2DA0">
      <w:pPr>
        <w:pStyle w:val="a4"/>
        <w:numPr>
          <w:ilvl w:val="0"/>
          <w:numId w:val="8"/>
        </w:numPr>
        <w:spacing w:after="0" w:line="240" w:lineRule="auto"/>
        <w:rPr>
          <w:rFonts w:ascii="Times New Roman" w:hAnsi="Times New Roman" w:cs="Times New Roman"/>
          <w:sz w:val="28"/>
          <w:szCs w:val="28"/>
        </w:rPr>
      </w:pPr>
      <w:r w:rsidRPr="0068182D">
        <w:rPr>
          <w:rFonts w:ascii="Times New Roman" w:eastAsia="Times New Roman" w:hAnsi="Times New Roman" w:cs="Times New Roman"/>
          <w:b/>
          <w:color w:val="000000"/>
          <w:sz w:val="28"/>
          <w:szCs w:val="28"/>
          <w:lang w:val="en-US"/>
        </w:rPr>
        <w:t>Neoclassical synthesis</w:t>
      </w:r>
      <w:r w:rsidRPr="0068182D">
        <w:rPr>
          <w:rFonts w:ascii="Times New Roman" w:eastAsia="Times New Roman" w:hAnsi="Times New Roman" w:cs="Times New Roman"/>
          <w:color w:val="000000"/>
          <w:sz w:val="28"/>
          <w:szCs w:val="28"/>
          <w:lang w:val="en-US"/>
        </w:rPr>
        <w:t>.</w:t>
      </w:r>
    </w:p>
    <w:p w:rsidR="004379E3" w:rsidRPr="0068182D" w:rsidRDefault="004379E3" w:rsidP="00FF2DA0">
      <w:pPr>
        <w:pStyle w:val="a4"/>
        <w:numPr>
          <w:ilvl w:val="0"/>
          <w:numId w:val="8"/>
        </w:numPr>
        <w:spacing w:after="0" w:line="240" w:lineRule="auto"/>
        <w:rPr>
          <w:rFonts w:ascii="Times New Roman" w:hAnsi="Times New Roman" w:cs="Times New Roman"/>
          <w:sz w:val="28"/>
          <w:szCs w:val="28"/>
        </w:rPr>
      </w:pPr>
      <w:r w:rsidRPr="0068182D">
        <w:rPr>
          <w:rFonts w:ascii="Times New Roman" w:hAnsi="Times New Roman" w:cs="Times New Roman"/>
          <w:b/>
          <w:color w:val="000000"/>
          <w:sz w:val="28"/>
          <w:szCs w:val="28"/>
          <w:lang w:val="en-US"/>
        </w:rPr>
        <w:t>The concept of "M</w:t>
      </w:r>
      <w:r w:rsidRPr="0068182D">
        <w:rPr>
          <w:rFonts w:ascii="Times New Roman" w:eastAsia="Times New Roman" w:hAnsi="Times New Roman" w:cs="Times New Roman"/>
          <w:b/>
          <w:color w:val="000000"/>
          <w:sz w:val="28"/>
          <w:szCs w:val="28"/>
          <w:lang w:val="en-US"/>
        </w:rPr>
        <w:t>ultiplier"</w:t>
      </w:r>
      <w:r w:rsidRPr="0068182D">
        <w:rPr>
          <w:rFonts w:ascii="Times New Roman" w:eastAsia="Times New Roman" w:hAnsi="Times New Roman" w:cs="Times New Roman"/>
          <w:color w:val="000000"/>
          <w:sz w:val="28"/>
          <w:szCs w:val="28"/>
          <w:lang w:val="en-US"/>
        </w:rPr>
        <w:t xml:space="preserve">. </w:t>
      </w:r>
    </w:p>
    <w:p w:rsidR="004379E3" w:rsidRPr="0068182D" w:rsidRDefault="004379E3" w:rsidP="00FF2DA0">
      <w:pPr>
        <w:pStyle w:val="a4"/>
        <w:numPr>
          <w:ilvl w:val="0"/>
          <w:numId w:val="8"/>
        </w:numPr>
        <w:spacing w:after="0" w:line="240" w:lineRule="auto"/>
        <w:rPr>
          <w:rFonts w:ascii="Times New Roman" w:hAnsi="Times New Roman" w:cs="Times New Roman"/>
          <w:sz w:val="28"/>
          <w:szCs w:val="28"/>
          <w:lang w:val="en-US"/>
        </w:rPr>
      </w:pPr>
      <w:r w:rsidRPr="0068182D">
        <w:rPr>
          <w:rFonts w:ascii="Times New Roman" w:eastAsia="Times New Roman" w:hAnsi="Times New Roman" w:cs="Times New Roman"/>
          <w:b/>
          <w:color w:val="000000"/>
          <w:sz w:val="28"/>
          <w:szCs w:val="28"/>
          <w:lang w:val="en-US"/>
        </w:rPr>
        <w:t>Post-Keynesian theory of public finance</w:t>
      </w:r>
      <w:r w:rsidRPr="0068182D">
        <w:rPr>
          <w:rFonts w:ascii="Times New Roman" w:eastAsia="Times New Roman" w:hAnsi="Times New Roman" w:cs="Times New Roman"/>
          <w:color w:val="000000"/>
          <w:sz w:val="28"/>
          <w:szCs w:val="28"/>
          <w:lang w:val="en-US"/>
        </w:rPr>
        <w:t xml:space="preserve">. </w:t>
      </w:r>
    </w:p>
    <w:p w:rsidR="004379E3" w:rsidRPr="0068182D" w:rsidRDefault="004379E3" w:rsidP="00FF2DA0">
      <w:pPr>
        <w:spacing w:after="0" w:line="240" w:lineRule="auto"/>
        <w:rPr>
          <w:rFonts w:ascii="Times New Roman" w:hAnsi="Times New Roman" w:cs="Times New Roman"/>
          <w:sz w:val="28"/>
          <w:szCs w:val="28"/>
          <w:lang w:val="en-US"/>
        </w:rPr>
      </w:pPr>
    </w:p>
    <w:p w:rsidR="004379E3" w:rsidRPr="0068182D" w:rsidRDefault="004379E3" w:rsidP="00FF2DA0">
      <w:pPr>
        <w:pStyle w:val="a4"/>
        <w:numPr>
          <w:ilvl w:val="0"/>
          <w:numId w:val="11"/>
        </w:numPr>
        <w:tabs>
          <w:tab w:val="left" w:pos="3309"/>
        </w:tabs>
        <w:autoSpaceDE w:val="0"/>
        <w:autoSpaceDN w:val="0"/>
        <w:adjustRightInd w:val="0"/>
        <w:spacing w:after="0" w:line="240" w:lineRule="auto"/>
        <w:jc w:val="both"/>
        <w:rPr>
          <w:rFonts w:ascii="Times New Roman" w:eastAsiaTheme="minorHAnsi" w:hAnsi="Times New Roman" w:cs="Times New Roman"/>
          <w:b/>
          <w:sz w:val="28"/>
          <w:szCs w:val="28"/>
          <w:lang w:val="en-US" w:eastAsia="en-US"/>
        </w:rPr>
      </w:pPr>
      <w:r w:rsidRPr="0068182D">
        <w:rPr>
          <w:rFonts w:ascii="Times New Roman" w:eastAsiaTheme="minorHAnsi" w:hAnsi="Times New Roman" w:cs="Times New Roman"/>
          <w:b/>
          <w:sz w:val="28"/>
          <w:szCs w:val="28"/>
          <w:lang w:val="en-US" w:eastAsia="en-US"/>
        </w:rPr>
        <w:t>Concept of Public Finance</w:t>
      </w:r>
    </w:p>
    <w:p w:rsidR="004379E3" w:rsidRPr="0068182D" w:rsidRDefault="004379E3" w:rsidP="00FF2DA0">
      <w:pPr>
        <w:autoSpaceDE w:val="0"/>
        <w:autoSpaceDN w:val="0"/>
        <w:adjustRightInd w:val="0"/>
        <w:spacing w:after="0" w:line="240" w:lineRule="auto"/>
        <w:ind w:firstLine="709"/>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The concept of public finance deals with the budgeting techniques of the income and expenditures of a public sector organization, normally government or federal organization. Public finance is also termed as government finance and it is an important sector of finance and economics.</w:t>
      </w:r>
    </w:p>
    <w:p w:rsidR="004379E3" w:rsidRPr="0068182D" w:rsidRDefault="004379E3" w:rsidP="00FF2DA0">
      <w:pPr>
        <w:autoSpaceDE w:val="0"/>
        <w:autoSpaceDN w:val="0"/>
        <w:adjustRightInd w:val="0"/>
        <w:spacing w:after="0" w:line="240" w:lineRule="auto"/>
        <w:ind w:firstLine="709"/>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The concept of public finance focuses on the following factors:</w:t>
      </w:r>
    </w:p>
    <w:p w:rsidR="004379E3" w:rsidRPr="0068182D" w:rsidRDefault="004379E3" w:rsidP="00FF2DA0">
      <w:pPr>
        <w:pStyle w:val="a4"/>
        <w:numPr>
          <w:ilvl w:val="0"/>
          <w:numId w:val="9"/>
        </w:numPr>
        <w:autoSpaceDE w:val="0"/>
        <w:autoSpaceDN w:val="0"/>
        <w:adjustRightInd w:val="0"/>
        <w:spacing w:after="0" w:line="240" w:lineRule="auto"/>
        <w:ind w:left="0" w:firstLine="426"/>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Tax incidence (the party which is actually paying a specific tax)</w:t>
      </w:r>
    </w:p>
    <w:p w:rsidR="004379E3" w:rsidRPr="0068182D" w:rsidRDefault="004379E3" w:rsidP="00FF2DA0">
      <w:pPr>
        <w:pStyle w:val="a4"/>
        <w:numPr>
          <w:ilvl w:val="0"/>
          <w:numId w:val="9"/>
        </w:numPr>
        <w:autoSpaceDE w:val="0"/>
        <w:autoSpaceDN w:val="0"/>
        <w:adjustRightInd w:val="0"/>
        <w:spacing w:after="0" w:line="240" w:lineRule="auto"/>
        <w:ind w:left="0" w:firstLine="426"/>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Efficiency of government</w:t>
      </w:r>
    </w:p>
    <w:p w:rsidR="004379E3" w:rsidRPr="0068182D" w:rsidRDefault="004379E3" w:rsidP="00FF2DA0">
      <w:pPr>
        <w:pStyle w:val="a4"/>
        <w:numPr>
          <w:ilvl w:val="0"/>
          <w:numId w:val="9"/>
        </w:numPr>
        <w:autoSpaceDE w:val="0"/>
        <w:autoSpaceDN w:val="0"/>
        <w:adjustRightInd w:val="0"/>
        <w:spacing w:after="0" w:line="240" w:lineRule="auto"/>
        <w:ind w:left="0" w:firstLine="426"/>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The government’s function in accomplishing distribution of income with the help of taxation, transfer payments and government expenditure on commodities</w:t>
      </w:r>
    </w:p>
    <w:p w:rsidR="004379E3" w:rsidRPr="0068182D" w:rsidRDefault="004379E3" w:rsidP="00FF2DA0">
      <w:pPr>
        <w:pStyle w:val="a4"/>
        <w:numPr>
          <w:ilvl w:val="0"/>
          <w:numId w:val="9"/>
        </w:numPr>
        <w:autoSpaceDE w:val="0"/>
        <w:autoSpaceDN w:val="0"/>
        <w:adjustRightInd w:val="0"/>
        <w:spacing w:after="0" w:line="240" w:lineRule="auto"/>
        <w:ind w:left="0" w:firstLine="426"/>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The effectiveness and distribution results of various types of taxes, such as consumption tax and income tax</w:t>
      </w:r>
    </w:p>
    <w:p w:rsidR="004379E3" w:rsidRPr="0068182D" w:rsidRDefault="004379E3" w:rsidP="00FF2DA0">
      <w:pPr>
        <w:pStyle w:val="a4"/>
        <w:numPr>
          <w:ilvl w:val="0"/>
          <w:numId w:val="9"/>
        </w:numPr>
        <w:autoSpaceDE w:val="0"/>
        <w:autoSpaceDN w:val="0"/>
        <w:adjustRightInd w:val="0"/>
        <w:spacing w:after="0" w:line="240" w:lineRule="auto"/>
        <w:ind w:left="0" w:firstLine="426"/>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The ambit of government functions taking into consideration the markets, public goods, and externalities</w:t>
      </w:r>
    </w:p>
    <w:p w:rsidR="004379E3" w:rsidRPr="0068182D" w:rsidRDefault="004379E3" w:rsidP="00FF2DA0">
      <w:pPr>
        <w:pStyle w:val="a4"/>
        <w:numPr>
          <w:ilvl w:val="0"/>
          <w:numId w:val="9"/>
        </w:numPr>
        <w:autoSpaceDE w:val="0"/>
        <w:autoSpaceDN w:val="0"/>
        <w:adjustRightInd w:val="0"/>
        <w:spacing w:after="0" w:line="240" w:lineRule="auto"/>
        <w:ind w:left="0" w:firstLine="426"/>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Supply of commodities and services as prescribed by the government versus voluntary interchange</w:t>
      </w:r>
    </w:p>
    <w:p w:rsidR="004379E3" w:rsidRPr="0068182D" w:rsidRDefault="004379E3" w:rsidP="00FF2DA0">
      <w:pPr>
        <w:pStyle w:val="a4"/>
        <w:numPr>
          <w:ilvl w:val="0"/>
          <w:numId w:val="9"/>
        </w:numPr>
        <w:autoSpaceDE w:val="0"/>
        <w:autoSpaceDN w:val="0"/>
        <w:adjustRightInd w:val="0"/>
        <w:spacing w:after="0" w:line="240" w:lineRule="auto"/>
        <w:ind w:left="0" w:firstLine="426"/>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Public expenditure model, fiscal politics, and taxation policies</w:t>
      </w:r>
    </w:p>
    <w:p w:rsidR="004379E3" w:rsidRPr="0068182D" w:rsidRDefault="004379E3" w:rsidP="00FF2DA0">
      <w:pPr>
        <w:pStyle w:val="a4"/>
        <w:numPr>
          <w:ilvl w:val="0"/>
          <w:numId w:val="9"/>
        </w:numPr>
        <w:autoSpaceDE w:val="0"/>
        <w:autoSpaceDN w:val="0"/>
        <w:adjustRightInd w:val="0"/>
        <w:spacing w:after="0" w:line="240" w:lineRule="auto"/>
        <w:ind w:left="0" w:firstLine="426"/>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The revenue earned by the government by imposing different types of taxes is utilized in various types of public or social utility projects.</w:t>
      </w:r>
    </w:p>
    <w:p w:rsidR="004379E3" w:rsidRPr="0068182D" w:rsidRDefault="004379E3" w:rsidP="00FF2DA0">
      <w:pPr>
        <w:autoSpaceDE w:val="0"/>
        <w:autoSpaceDN w:val="0"/>
        <w:adjustRightInd w:val="0"/>
        <w:spacing w:after="0" w:line="240" w:lineRule="auto"/>
        <w:ind w:firstLine="709"/>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The financing process of the government is performed with the help of the following means:</w:t>
      </w:r>
    </w:p>
    <w:p w:rsidR="004379E3" w:rsidRPr="0068182D" w:rsidRDefault="004379E3" w:rsidP="00FF2DA0">
      <w:pPr>
        <w:pStyle w:val="a4"/>
        <w:numPr>
          <w:ilvl w:val="0"/>
          <w:numId w:val="10"/>
        </w:numPr>
        <w:autoSpaceDE w:val="0"/>
        <w:autoSpaceDN w:val="0"/>
        <w:adjustRightInd w:val="0"/>
        <w:spacing w:after="0" w:line="240" w:lineRule="auto"/>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Borrowing or taking loans</w:t>
      </w:r>
    </w:p>
    <w:p w:rsidR="004379E3" w:rsidRPr="0068182D" w:rsidRDefault="004379E3" w:rsidP="00FF2DA0">
      <w:pPr>
        <w:pStyle w:val="a4"/>
        <w:numPr>
          <w:ilvl w:val="0"/>
          <w:numId w:val="10"/>
        </w:numPr>
        <w:autoSpaceDE w:val="0"/>
        <w:autoSpaceDN w:val="0"/>
        <w:adjustRightInd w:val="0"/>
        <w:spacing w:after="0" w:line="240" w:lineRule="auto"/>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Taxation</w:t>
      </w:r>
    </w:p>
    <w:p w:rsidR="004379E3" w:rsidRPr="0068182D" w:rsidRDefault="004379E3" w:rsidP="00FF2DA0">
      <w:pPr>
        <w:pStyle w:val="a4"/>
        <w:numPr>
          <w:ilvl w:val="0"/>
          <w:numId w:val="10"/>
        </w:numPr>
        <w:autoSpaceDE w:val="0"/>
        <w:autoSpaceDN w:val="0"/>
        <w:adjustRightInd w:val="0"/>
        <w:spacing w:after="0" w:line="240" w:lineRule="auto"/>
        <w:jc w:val="both"/>
        <w:rPr>
          <w:rFonts w:ascii="Times New Roman" w:hAnsi="Times New Roman" w:cs="Times New Roman"/>
          <w:sz w:val="28"/>
          <w:szCs w:val="28"/>
          <w:lang w:val="en-US"/>
        </w:rPr>
      </w:pPr>
      <w:r w:rsidRPr="0068182D">
        <w:rPr>
          <w:rFonts w:ascii="Times New Roman" w:eastAsiaTheme="minorHAnsi" w:hAnsi="Times New Roman" w:cs="Times New Roman"/>
          <w:sz w:val="28"/>
          <w:szCs w:val="28"/>
          <w:lang w:val="en-US" w:eastAsia="en-US"/>
        </w:rPr>
        <w:t>Seigniorage</w:t>
      </w:r>
    </w:p>
    <w:p w:rsidR="004379E3" w:rsidRPr="0068182D" w:rsidRDefault="004379E3" w:rsidP="00FF2DA0">
      <w:pPr>
        <w:autoSpaceDE w:val="0"/>
        <w:autoSpaceDN w:val="0"/>
        <w:adjustRightInd w:val="0"/>
        <w:spacing w:after="0" w:line="240" w:lineRule="auto"/>
        <w:jc w:val="both"/>
        <w:rPr>
          <w:rFonts w:ascii="Times New Roman" w:hAnsi="Times New Roman" w:cs="Times New Roman"/>
          <w:sz w:val="28"/>
          <w:szCs w:val="28"/>
        </w:rPr>
      </w:pPr>
    </w:p>
    <w:p w:rsidR="004379E3" w:rsidRPr="0068182D" w:rsidRDefault="004379E3" w:rsidP="00FF2DA0">
      <w:pPr>
        <w:pStyle w:val="a4"/>
        <w:numPr>
          <w:ilvl w:val="0"/>
          <w:numId w:val="11"/>
        </w:numPr>
        <w:tabs>
          <w:tab w:val="left" w:pos="3370"/>
        </w:tabs>
        <w:autoSpaceDE w:val="0"/>
        <w:autoSpaceDN w:val="0"/>
        <w:adjustRightInd w:val="0"/>
        <w:spacing w:after="0" w:line="240" w:lineRule="auto"/>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Financial concepts</w:t>
      </w:r>
    </w:p>
    <w:p w:rsidR="004379E3" w:rsidRPr="0068182D" w:rsidRDefault="004379E3" w:rsidP="00FF2DA0">
      <w:pPr>
        <w:autoSpaceDE w:val="0"/>
        <w:autoSpaceDN w:val="0"/>
        <w:adjustRightInd w:val="0"/>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 number of important concepts of finance have been developed by the experts of the field to provide better knowledge about the field to the general public. These financial concepts are also aimed at developing the resources and opportunities in this field.</w:t>
      </w:r>
    </w:p>
    <w:p w:rsidR="004379E3" w:rsidRPr="0068182D" w:rsidRDefault="004379E3" w:rsidP="00FF2DA0">
      <w:pPr>
        <w:autoSpaceDE w:val="0"/>
        <w:autoSpaceDN w:val="0"/>
        <w:adjustRightInd w:val="0"/>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Every individual as well as institution has a definite source of income and a particular way of expenditure.These particular sources of income, habit of investment and the habit of expenditure, all come under the domain of finance. Several important concepts of finance have been developed through close study of all these things.</w:t>
      </w:r>
    </w:p>
    <w:p w:rsidR="004379E3" w:rsidRPr="0068182D" w:rsidRDefault="004379E3" w:rsidP="00FF2DA0">
      <w:pPr>
        <w:autoSpaceDE w:val="0"/>
        <w:autoSpaceDN w:val="0"/>
        <w:adjustRightInd w:val="0"/>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important concepts of finance throw light on the topics like money and assets. These concepts are related to the development of the money and assets.At the same time, the financial concepts are also concerned about proper management of money through certain processes.</w:t>
      </w:r>
    </w:p>
    <w:p w:rsidR="004379E3" w:rsidRPr="0068182D" w:rsidRDefault="004379E3" w:rsidP="00FF2DA0">
      <w:pPr>
        <w:autoSpaceDE w:val="0"/>
        <w:autoSpaceDN w:val="0"/>
        <w:adjustRightInd w:val="0"/>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Important concepts of finance are also crucial for deciding value of money in the present as well as in the future.The first thing that follows from the term finance is investment. The investment sector is favorite amongst a large section of general public especially the financial experts.</w:t>
      </w:r>
    </w:p>
    <w:p w:rsidR="004379E3" w:rsidRPr="0068182D" w:rsidRDefault="004379E3" w:rsidP="00FF2DA0">
      <w:pPr>
        <w:autoSpaceDE w:val="0"/>
        <w:autoSpaceDN w:val="0"/>
        <w:adjustRightInd w:val="0"/>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These experts have studied different aspects of this field and a number of important concepts of finance have been developed around the invest sector.</w:t>
      </w:r>
    </w:p>
    <w:p w:rsidR="004379E3" w:rsidRPr="0068182D" w:rsidRDefault="004379E3" w:rsidP="00FF2DA0">
      <w:pPr>
        <w:autoSpaceDE w:val="0"/>
        <w:autoSpaceDN w:val="0"/>
        <w:adjustRightInd w:val="0"/>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sector itself is complex by nature but it is at the center of attraction simply because the sector is eligible enough to produce high yields for the investors. At the same time, risk factors are also related to this sector and so before entering into the financial sector one should have a clear understanding of the sector. The important concepts of finance prove to be of great use in understanding the functioning of this sector. These concepts are also essential to understand the opportunities of development as well as the traps hidden in the field of finance.</w:t>
      </w:r>
    </w:p>
    <w:p w:rsidR="004379E3" w:rsidRPr="0068182D" w:rsidRDefault="004379E3" w:rsidP="00FF2DA0">
      <w:pPr>
        <w:autoSpaceDE w:val="0"/>
        <w:autoSpaceDN w:val="0"/>
        <w:adjustRightInd w:val="0"/>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important concepts of finance help to evaluate the potential of the stocks, bonds and other investment instruments and one can use these concepts to select the best investment plans available in the market.</w:t>
      </w:r>
    </w:p>
    <w:p w:rsidR="004379E3" w:rsidRPr="0068182D" w:rsidRDefault="004379E3" w:rsidP="00FF2DA0">
      <w:pPr>
        <w:spacing w:after="0" w:line="240" w:lineRule="auto"/>
        <w:ind w:firstLine="709"/>
        <w:rPr>
          <w:rFonts w:ascii="Times New Roman" w:hAnsi="Times New Roman" w:cs="Times New Roman"/>
          <w:sz w:val="28"/>
          <w:szCs w:val="28"/>
          <w:lang w:val="en-US"/>
        </w:rPr>
      </w:pPr>
    </w:p>
    <w:p w:rsidR="004379E3" w:rsidRPr="0068182D" w:rsidRDefault="004379E3" w:rsidP="00FF2DA0">
      <w:pPr>
        <w:pStyle w:val="a4"/>
        <w:numPr>
          <w:ilvl w:val="0"/>
          <w:numId w:val="11"/>
        </w:numPr>
        <w:tabs>
          <w:tab w:val="left" w:pos="1532"/>
        </w:tabs>
        <w:spacing w:after="0" w:line="240" w:lineRule="auto"/>
        <w:ind w:left="2268" w:hanging="1559"/>
        <w:jc w:val="center"/>
        <w:rPr>
          <w:rFonts w:ascii="Times New Roman" w:hAnsi="Times New Roman" w:cs="Times New Roman"/>
          <w:b/>
          <w:sz w:val="28"/>
          <w:szCs w:val="28"/>
          <w:lang w:val="en-US"/>
        </w:rPr>
      </w:pPr>
      <w:r w:rsidRPr="0068182D">
        <w:rPr>
          <w:rFonts w:ascii="Times New Roman" w:eastAsia="Times New Roman" w:hAnsi="Times New Roman" w:cs="Times New Roman"/>
          <w:b/>
          <w:color w:val="000000"/>
          <w:sz w:val="28"/>
          <w:szCs w:val="28"/>
          <w:lang w:val="en-US"/>
        </w:rPr>
        <w:t xml:space="preserve">Public finances in </w:t>
      </w:r>
      <w:r w:rsidRPr="0068182D">
        <w:rPr>
          <w:rFonts w:ascii="Times New Roman" w:hAnsi="Times New Roman" w:cs="Times New Roman"/>
          <w:b/>
          <w:color w:val="000000"/>
          <w:sz w:val="28"/>
          <w:szCs w:val="28"/>
          <w:lang w:val="en-US"/>
        </w:rPr>
        <w:t>Keynesian Economics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central tenet of this school of thought is that government intervention can stabilize the economy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Just how important is money? Few would deny that it plays a key role in the economy.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During the Great Depression of the 1930s, existing economic theory was unable either to explain the causes of the severe worldwide economic collapse or to provide an adequate public policy solution to jump-start production and employment.</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British economist John Maynard Keynes spearheaded a revolution in economic thinking that overturned the then-prevailing idea that free markets would automatically provide full employment—that is, that everyone who wanted a job would have one as long as workers were flexible in their wage demands (see box). The main plank of Keynes’s theory, which has come to bear his name, is the assertion that aggregate demand—measured as the sum of spending by households, businesses, and the government—is the most important driving force in an economy. Keynes further asserted that free markets have no self-balancing mechanisms that lead to full employment. Keynesian economists justify government intervention through public policies that aim to achieve full employment and price stability.</w:t>
      </w: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The revolutionary idea</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Keynes argued that inadequate overall demand could lead to prolonged periods of high unemployment. An economy’s output of goods and services is the sum of four components: consumption, investment, government purchases, and net exports (the difference between what a country sells to and buys from foreign countries). Any increase in demand has to come from one of these four components. But during a recession, strong forces often dampen demand as spending goes down. For example, during economic downturns uncertainty often erodes consumer confidence, causing them to reduce their spending, especially on discretionary purchases like a house or a car. This reduction in spending by consumers can result in less investment spending by businesses, as firms respond to weakened demand for their products. This puts the task of increasing output on the shoulders of the government. According to Keynesian economics, state intervention is necessary to moderate the booms and busts in economic activity, otherwise known as the business cycle.</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There are three principal tenets in the Keynesian description of how the economy works: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Aggregate demand is influenced by many economic decisions—public and private.Private sector decisions can sometimes lead to adverse macroeconomic outcomes, such as reduction in consumer spending during a recession. These market failures sometimes call for active policies by the government, such as a fiscal stimulus package (explained below). Therefore, Keynesian economics supports a mixed economy guided mainly by the private sector but partly operated by the government.</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Prices, and especially wages, respond slowly to changes in supply and demand, resulting in periodic shortages and surpluses, especially of labor.</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Changes in aggregate demand, whether anticipated or unanticipated, have their greatest short-run effect on real output and employment, not on prices. Keynesians believe that, because prices are somewhat rigid, fluctuations in any component of spending—consumption, investment, or government expenditures—cause output to change. If government spending increases, for example, and all other spending components remain constant, then output will increase. Keynesian models of economic activity also include a multiplier effect; that is, output changes by some multiple of the increase or decrease in spending that caused the change. If the fiscal multiplier is greater than one, then a one dollar increase in government spending would result in an increase in output greater than one dollar.</w:t>
      </w: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Stabilizing the economy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No policy prescriptions follow from these three tenets alone. What distinguishes Keynesians from other economists is their belief in activist policies to reduce the amplitude of the business cycle, which they rank among the most important of all economic problems.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Rather than seeing unbalanced government budgets as wrong, Keynes advocated so-called countercyclical fiscal policies that act against the direction of the business cycle. For example, Keynesian economists would advocate deficit spending on labor-intensive infrastructure projects to stimulate employment and stabilize wages during economic downturns. They would raise taxes to cool the economy and prevent inflation when there is abundant demand-side growth. Monetary policy could also be used to stimulate the economy—for example, by reducing interest rates to encourage investment. The exception occurs during a liquidity trap, when increases in the money stock fail to lower interest rates and, therefore, do not boost output and employment.</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Keynes argued that governments should solve problems in the short run rather than wait for market forces to fix things over the long run, because, as he wrote, “In the long run, we are all dead.” This does not mean that Keynesians advocate adjusting policies every few months to keep the economy at full employment. In fact, they believe that governments cannot know enough to fine-tune successfully.</w:t>
      </w: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Keynesianism evolves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Even though his ideas were widely accepted while Keynes was alive, they were also scrutinized and contested by several contemporary thinkers. Particularly noteworthy were his arguments with the Austrian School of Economics, whose adherents believed that recessions and booms are a part of the natural order and that government intervention only worsens the recovery process.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Keynesian economics dominated economic theory and policy after World War II until the 1970s, when many advanced economies suffered both inflation and slow growth, a condition dubbed “stagflation.” Keynesian theory’s popularity waned then because it had no appropriate policy response for stagflation. Monetarist economists doubted the ability of governments to regulate the business cycle with fiscal policy and argued that judicious use of monetary policy (essentially controlling the supply of money to affect interest rates) could alleviate the crisis (see “What Is Monetarism?” in the March 2014 F&amp;D). Members of the monetarist school also maintained that money can have an effect on output in the short run but believed that in the long run, expansionary monetary policy leads to inflation only. Keynesian economists largely adopted these critiques, adding to the original theory a better integration of the short and the long run and an understanding of the long-run neutrality of money—the idea that a change in the stock of money affects only nominal variables in the economy, such as prices and wages, and has no effect on real variables, like employment and output.</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Both Keynesians and monetarists came under scrutiny with the rise of the new classical school during the mid-1970s. The new classical school asserted that policymakers are ineffective because individual market participants can anticipate the changes from a policy and act in advance to counteract them. A new generation of Keynesians that arose in the 1970s and 1980s argued that even though individuals can anticipate correctly, aggregate markets may not clear instantaneously; therefore, fiscal policy can still be effective in the short run.</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global financial crisis of 2007–08 caused a resurgence in Keynesian thought. It was the theoretical underpinnings of economic policies in response to the crisis by many governments, including in the United States and the United Kingdom. As the global recession was unfurling in late 2008, Harvard professor N. Gregory Mankiw wrote in the New York Times, “If you were going to turn to only one economist to understand the problems facing the economy, there is little doubt that the economist would be John Maynard Keynes. Although Keynes died more than a half-century ago, his diagnosis of recessions and depressions remains the foundation of modern macroeconomics. Keynes wrote, ‘Practical men, who believe themselves to be quite exempt from any intellectual influence, are usually the slave of some defunct economist.’ In 2008, no defunct economist is more prominent than Keynes himself.”</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But the 2007–08 crisis also showed that Keynesian theory had to better include the role of the financial system. Keynesian economists are rectifying that omission by integrating the real and financial sectors of the economy.</w:t>
      </w: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Keynesian economics gets its name, theories, and principles from British economist John Maynard Keynes (1883–1946), who is regarded as the founder of modern macroeconomics. His most famous work, The General Theory of Employment, Interest and Money, was published in 1936. But its 1930 precursor, A Treatise on Money, is often regarded as more important to economic thought. Until then economics analyzed only static conditions—essentially doing detailed examination of a snapshot of a rapidly moving process. Keynes, in Treatise, created a dynamic approach that converted economics into a study of the flow of incomes and expenditures. He opened up new vistas for economic analysis.</w:t>
      </w: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 xml:space="preserve"> In The Economic Consequences of the Peace in 1919, Keynes predicted that the crushing conditions the Versailles peace treaty placed on Germany to end World War I would lead to another European war.</w:t>
      </w: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He remembered the lessons from Versailles and from the Great Depression, when he led the British delegation at the 1944 Bretton Woods conference—which set down rules to ensure the stability of the international financial system and facilitated the rebuilding of nations devastated by World War II. Along with U.S. Treasury official Harry Dexter White, Keynes is considered the intellectual founding father of the International Monetary Fund and the World Bank, which were created at Bretton Woods.</w:t>
      </w:r>
    </w:p>
    <w:p w:rsidR="004379E3" w:rsidRPr="0068182D" w:rsidRDefault="004379E3" w:rsidP="00FF2DA0">
      <w:pPr>
        <w:spacing w:after="0" w:line="240" w:lineRule="auto"/>
        <w:ind w:left="567" w:firstLine="709"/>
        <w:jc w:val="both"/>
        <w:rPr>
          <w:rFonts w:ascii="Times New Roman" w:hAnsi="Times New Roman" w:cs="Times New Roman"/>
          <w:i/>
          <w:sz w:val="28"/>
          <w:szCs w:val="28"/>
          <w:lang w:val="en-US"/>
        </w:rPr>
      </w:pPr>
    </w:p>
    <w:p w:rsidR="004379E3" w:rsidRPr="0068182D" w:rsidRDefault="004379E3" w:rsidP="00FF2DA0">
      <w:pPr>
        <w:pStyle w:val="a4"/>
        <w:numPr>
          <w:ilvl w:val="0"/>
          <w:numId w:val="11"/>
        </w:numPr>
        <w:tabs>
          <w:tab w:val="left" w:pos="1843"/>
        </w:tabs>
        <w:spacing w:after="0" w:line="240" w:lineRule="auto"/>
        <w:ind w:hanging="2403"/>
        <w:rPr>
          <w:rFonts w:ascii="Times New Roman" w:hAnsi="Times New Roman" w:cs="Times New Roman"/>
          <w:b/>
          <w:sz w:val="28"/>
          <w:szCs w:val="28"/>
          <w:lang w:val="en-US"/>
        </w:rPr>
      </w:pPr>
      <w:r w:rsidRPr="0068182D">
        <w:rPr>
          <w:rFonts w:ascii="Times New Roman" w:eastAsia="Times New Roman" w:hAnsi="Times New Roman" w:cs="Times New Roman"/>
          <w:b/>
          <w:color w:val="000000"/>
          <w:sz w:val="28"/>
          <w:szCs w:val="28"/>
          <w:lang w:val="en-US"/>
        </w:rPr>
        <w:t>Modern neoclassical theory of public finance</w:t>
      </w:r>
    </w:p>
    <w:p w:rsidR="004379E3" w:rsidRPr="0068182D" w:rsidRDefault="004379E3" w:rsidP="00FF2DA0">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Present day dominant school of economic thought built on the foundation laid by the 18th century (classical) theories of Adam Smith (1723-1790) and David Ricardo (1772-1823), and refined by the 19th and 20th century theories of Alfred Marshall (1842-1924), Vilfredo Pareto (1848-1923), John Clark (1847-1938), and Irving Fisher (1867-1947). It is 'classical' in the sense that it based on the belief that competition leads to an efficient allocation of resources, and regulates economic activity that establishes equilibrium between demand and supply through the operation of market forces.</w:t>
      </w:r>
    </w:p>
    <w:p w:rsidR="004379E3" w:rsidRPr="0068182D" w:rsidRDefault="004379E3" w:rsidP="00FF2DA0">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It is 'neo' in the sense that it departs sharply from the classical viewpoint in its analytic approach that places great emphasis on mathematical techniques. In opposition to Keynesian economics, this school states that savings determine investment (not the other way round), and is concerned primarily with market equilibrium and growth at full employment instead of with the under-employment of resources. Not to be confused with new classical economics.</w:t>
      </w:r>
    </w:p>
    <w:p w:rsidR="004379E3" w:rsidRPr="0068182D" w:rsidRDefault="004379E3" w:rsidP="00FF2DA0">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Neoclassical economics grew out of the Classical School of economic thought proposed by economist Adam Smith in the 18th century. It sought to become a more encompassing economic theory by introducing two new concepts to Classical economics: perceived value (utility) and marginalism.</w:t>
      </w:r>
    </w:p>
    <w:p w:rsidR="004379E3" w:rsidRPr="0068182D" w:rsidRDefault="004379E3" w:rsidP="00FF2DA0">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Classical theory states that a product’s value consists of the cost of materials plus the cost of labor, which factor into price. Neoclassical theory, however, suggests that consumers often perceive a good as having a greater value beyond its production cost, which would affect both price and demand. The theory also states that economic decisions are sometimes made based on margins, or the perceived likelihood that an economic choice will turn out to be profitable or beneficial in the future.</w:t>
      </w:r>
    </w:p>
    <w:p w:rsidR="004379E3" w:rsidRPr="0068182D" w:rsidRDefault="004379E3" w:rsidP="00FF2DA0">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Though the term “neoclassical economics” was coined in 1900, historians trace the theory’s origins back to the 1870s through the works of economists William Stanley Jevons, Carl Menger and Leon Walras. These economists focused on how the perceived usefulness, or utility, of goods affected market forces. Since utility is determined at the consumer level, neoclassical economics largely became a study in microeconomics. </w:t>
      </w:r>
    </w:p>
    <w:p w:rsidR="004379E3" w:rsidRPr="0068182D" w:rsidRDefault="004379E3" w:rsidP="00FF2DA0">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Neoclassical theory operates on a few basic assumptions–mainly that economic decisions are always made rationally based on fully informed evaluations of utility. In other words, consumers compare goods and purchase the ones having the greatest utility, or highest personal value. The consumer’s main goal, the theory states, is to maximize personal satisfaction. Likewise, the goal of companies is to maximize profits. When consumers and companies both achieve their goals, markets experience economic equilibrium. In 1933, economists Joan Robinson and Edward H. Chamberlin expanded the theory to include the idea of “imperfect competition” to explain how consumers and businesses continue to compete when some have an unfair advantage over others, such as in a monopoly. Later, other economists incorporated the principles of Keynesian macroeconomics into the theory. Thus, neoclassical economics gradually came to encompass a wide array of ideas from various schools of economic thought. </w:t>
      </w:r>
    </w:p>
    <w:p w:rsidR="004379E3" w:rsidRPr="0068182D" w:rsidRDefault="004379E3" w:rsidP="00FF2DA0">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Some economists, however, reject the core assumptions of neoclassical economics as unrealistic. They argue that people and even businesses do not always behave rationally or make fully informed decisions. They criticize neoclassical economists for relying too heavily on mathematical models to describe markets, claiming such formulas are based on achieving economic utopia, not explaining how real markets operate. Mathematical formulas, they say, are too inflexible to accurately describe or predict human behavior, and too restrictive to apply to developing economies. Nevertheless, neoclassical economics remains the leading economic theory of the 20th and 21st centuries.</w:t>
      </w:r>
    </w:p>
    <w:p w:rsidR="004379E3" w:rsidRPr="0068182D" w:rsidRDefault="004379E3" w:rsidP="00FF2DA0">
      <w:pPr>
        <w:spacing w:after="0" w:line="240" w:lineRule="auto"/>
        <w:rPr>
          <w:rFonts w:ascii="Times New Roman" w:hAnsi="Times New Roman" w:cs="Times New Roman"/>
          <w:sz w:val="28"/>
          <w:szCs w:val="28"/>
          <w:lang w:val="en-US"/>
        </w:rPr>
      </w:pPr>
    </w:p>
    <w:p w:rsidR="004379E3" w:rsidRPr="0068182D" w:rsidRDefault="004379E3" w:rsidP="00FF2DA0">
      <w:pPr>
        <w:pStyle w:val="a4"/>
        <w:numPr>
          <w:ilvl w:val="0"/>
          <w:numId w:val="11"/>
        </w:numPr>
        <w:tabs>
          <w:tab w:val="left" w:pos="1854"/>
        </w:tabs>
        <w:spacing w:after="0" w:line="240" w:lineRule="auto"/>
        <w:rPr>
          <w:rFonts w:ascii="Times New Roman" w:hAnsi="Times New Roman" w:cs="Times New Roman"/>
          <w:b/>
          <w:sz w:val="28"/>
          <w:szCs w:val="28"/>
          <w:lang w:val="en-US"/>
        </w:rPr>
      </w:pPr>
      <w:r w:rsidRPr="0068182D">
        <w:rPr>
          <w:rFonts w:ascii="Times New Roman" w:eastAsia="Times New Roman" w:hAnsi="Times New Roman" w:cs="Times New Roman"/>
          <w:b/>
          <w:color w:val="000000"/>
          <w:sz w:val="28"/>
          <w:szCs w:val="28"/>
          <w:lang w:val="en-US"/>
        </w:rPr>
        <w:t>Neoclassical synthesis</w:t>
      </w:r>
    </w:p>
    <w:p w:rsidR="004379E3" w:rsidRPr="0068182D" w:rsidRDefault="004379E3" w:rsidP="00FF2DA0">
      <w:pPr>
        <w:autoSpaceDE w:val="0"/>
        <w:autoSpaceDN w:val="0"/>
        <w:adjustRightInd w:val="0"/>
        <w:spacing w:after="0" w:line="240" w:lineRule="auto"/>
        <w:jc w:val="both"/>
        <w:rPr>
          <w:rFonts w:ascii="Times New Roman" w:eastAsiaTheme="minorHAnsi" w:hAnsi="Times New Roman" w:cs="Times New Roman"/>
          <w:color w:val="231F20"/>
          <w:sz w:val="28"/>
          <w:szCs w:val="28"/>
          <w:lang w:val="en-US" w:eastAsia="en-US"/>
        </w:rPr>
      </w:pPr>
      <w:r w:rsidRPr="0068182D">
        <w:rPr>
          <w:rFonts w:ascii="Times New Roman" w:hAnsi="Times New Roman" w:cs="Times New Roman"/>
          <w:sz w:val="28"/>
          <w:szCs w:val="28"/>
          <w:lang w:val="en-US"/>
        </w:rPr>
        <w:tab/>
      </w:r>
      <w:r w:rsidRPr="0068182D">
        <w:rPr>
          <w:rFonts w:ascii="Times New Roman" w:eastAsiaTheme="minorHAnsi" w:hAnsi="Times New Roman" w:cs="Times New Roman"/>
          <w:color w:val="231F20"/>
          <w:sz w:val="28"/>
          <w:szCs w:val="28"/>
          <w:lang w:val="en-US" w:eastAsia="en-US"/>
        </w:rPr>
        <w:t xml:space="preserve">The term ‘neoclassical synthesis’ appears to have been coined by Paul Samuelson to denote the consensus view of macroeconomics which emerged in the mid-1950s in the United States. In the third edition of Economics (1955, p. 212), he wrote: </w:t>
      </w:r>
    </w:p>
    <w:p w:rsidR="004379E3" w:rsidRPr="0068182D" w:rsidRDefault="004379E3" w:rsidP="00FF2DA0">
      <w:pPr>
        <w:autoSpaceDE w:val="0"/>
        <w:autoSpaceDN w:val="0"/>
        <w:adjustRightInd w:val="0"/>
        <w:spacing w:after="0" w:line="240" w:lineRule="auto"/>
        <w:ind w:firstLine="708"/>
        <w:jc w:val="both"/>
        <w:rPr>
          <w:rFonts w:ascii="Times New Roman" w:hAnsi="Times New Roman" w:cs="Times New Roman"/>
          <w:sz w:val="28"/>
          <w:szCs w:val="28"/>
          <w:lang w:val="en-US"/>
        </w:rPr>
      </w:pPr>
      <w:r w:rsidRPr="0068182D">
        <w:rPr>
          <w:rFonts w:ascii="Times New Roman" w:eastAsiaTheme="minorHAnsi" w:hAnsi="Times New Roman" w:cs="Times New Roman"/>
          <w:color w:val="231F20"/>
          <w:sz w:val="28"/>
          <w:szCs w:val="28"/>
          <w:lang w:val="en-US" w:eastAsia="en-US"/>
        </w:rPr>
        <w:t>In recent years 90 per cent of American Economists have stopped being ‘Keynesian economists’ or ‘anti-Keynesian economists’. Instead they have worked toward a synthesis of whatever is valuable in older economics and in modern theories of income determination. The result might be called neo-classical economics and is accepted in its broad outlines by all but about 5 per cent of extreme left wing and right wing writers.</w:t>
      </w:r>
    </w:p>
    <w:p w:rsidR="004379E3" w:rsidRPr="0068182D" w:rsidRDefault="004379E3" w:rsidP="00FF2DA0">
      <w:pPr>
        <w:autoSpaceDE w:val="0"/>
        <w:autoSpaceDN w:val="0"/>
        <w:adjustRightInd w:val="0"/>
        <w:spacing w:after="0" w:line="240" w:lineRule="auto"/>
        <w:ind w:firstLine="708"/>
        <w:jc w:val="both"/>
        <w:rPr>
          <w:rFonts w:ascii="Times New Roman" w:eastAsiaTheme="minorHAnsi" w:hAnsi="Times New Roman" w:cs="Times New Roman"/>
          <w:color w:val="231F20"/>
          <w:sz w:val="28"/>
          <w:szCs w:val="28"/>
          <w:lang w:val="en-US" w:eastAsia="en-US"/>
        </w:rPr>
      </w:pPr>
      <w:r w:rsidRPr="0068182D">
        <w:rPr>
          <w:rFonts w:ascii="Times New Roman" w:eastAsiaTheme="minorHAnsi" w:hAnsi="Times New Roman" w:cs="Times New Roman"/>
          <w:color w:val="231F20"/>
          <w:sz w:val="28"/>
          <w:szCs w:val="28"/>
          <w:lang w:val="en-US" w:eastAsia="en-US"/>
        </w:rPr>
        <w:t>Unlike the old neoclassical economics, the new synthesis did not expect full employment to occur under laissez-faire; it believed, however, that, by proper use of monetary and fiscal policy, the old classical truths would come back into relevance.</w:t>
      </w:r>
    </w:p>
    <w:p w:rsidR="004379E3" w:rsidRPr="0068182D" w:rsidRDefault="004379E3" w:rsidP="00FF2DA0">
      <w:pPr>
        <w:autoSpaceDE w:val="0"/>
        <w:autoSpaceDN w:val="0"/>
        <w:adjustRightInd w:val="0"/>
        <w:spacing w:after="0" w:line="240" w:lineRule="auto"/>
        <w:ind w:firstLine="708"/>
        <w:jc w:val="both"/>
        <w:rPr>
          <w:rFonts w:ascii="Times New Roman" w:eastAsiaTheme="minorHAnsi" w:hAnsi="Times New Roman" w:cs="Times New Roman"/>
          <w:color w:val="231F20"/>
          <w:sz w:val="28"/>
          <w:szCs w:val="28"/>
          <w:lang w:val="en-US" w:eastAsia="en-US"/>
        </w:rPr>
      </w:pPr>
      <w:r w:rsidRPr="0068182D">
        <w:rPr>
          <w:rFonts w:ascii="Times New Roman" w:eastAsiaTheme="minorHAnsi" w:hAnsi="Times New Roman" w:cs="Times New Roman"/>
          <w:color w:val="231F20"/>
          <w:sz w:val="28"/>
          <w:szCs w:val="28"/>
          <w:lang w:val="en-US" w:eastAsia="en-US"/>
        </w:rPr>
        <w:t>This synthesis was to remain the dominant paradigm for another 20 years, in which most of the important contributions, by Hicks, Modigliani, Solow, Tobin and others, were to fit quite naturally. Its apotheosis was probably the large econometric models, in particular the MPS model developed by Modigliani and his collaborators, which incorporated most of these contributions in an empirically based and mathematically coherent model of the US economy.</w:t>
      </w:r>
    </w:p>
    <w:p w:rsidR="004379E3" w:rsidRPr="0068182D" w:rsidRDefault="004379E3" w:rsidP="00FF2DA0">
      <w:pPr>
        <w:autoSpaceDE w:val="0"/>
        <w:autoSpaceDN w:val="0"/>
        <w:adjustRightInd w:val="0"/>
        <w:spacing w:after="0" w:line="240" w:lineRule="auto"/>
        <w:ind w:firstLine="708"/>
        <w:jc w:val="both"/>
        <w:rPr>
          <w:rFonts w:ascii="Times New Roman" w:hAnsi="Times New Roman" w:cs="Times New Roman"/>
          <w:sz w:val="28"/>
          <w:szCs w:val="28"/>
          <w:lang w:val="en-US"/>
        </w:rPr>
      </w:pPr>
      <w:r w:rsidRPr="0068182D">
        <w:rPr>
          <w:rFonts w:ascii="Times New Roman" w:eastAsiaTheme="minorHAnsi" w:hAnsi="Times New Roman" w:cs="Times New Roman"/>
          <w:color w:val="231F20"/>
          <w:sz w:val="28"/>
          <w:szCs w:val="28"/>
          <w:lang w:val="en-US" w:eastAsia="en-US"/>
        </w:rPr>
        <w:t>The synthesis had, however, suffered from the start from schizophrenia in its relation to microeconomics. This schizophrenia was eventually to lead to a serious crisis from which it is only now re-emerging. I describe in turn the initial synthesis, the mature synthesis, the crisis and the new emerging synthesis.</w:t>
      </w:r>
    </w:p>
    <w:p w:rsidR="004379E3" w:rsidRPr="0068182D" w:rsidRDefault="004379E3" w:rsidP="00FF2DA0">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Neoclassical synthesis is a postwar academic movement in economics that attempts to absorb the macroeconomic thought of John Maynard Keynes into the thought of neoclassical economics. Mainstream economics is largely dominated by the resulting synthesis, being largely Keynesian in macroeconomics and neoclassical in microeconomics</w:t>
      </w:r>
    </w:p>
    <w:p w:rsidR="004379E3" w:rsidRPr="0068182D" w:rsidRDefault="004379E3" w:rsidP="00FF2DA0">
      <w:pPr>
        <w:spacing w:after="0" w:line="240" w:lineRule="auto"/>
        <w:rPr>
          <w:rFonts w:ascii="Times New Roman" w:hAnsi="Times New Roman" w:cs="Times New Roman"/>
          <w:sz w:val="28"/>
          <w:szCs w:val="28"/>
          <w:lang w:val="en-US"/>
        </w:rPr>
      </w:pPr>
    </w:p>
    <w:p w:rsidR="004379E3" w:rsidRPr="0068182D" w:rsidRDefault="004379E3" w:rsidP="00FF2DA0">
      <w:pPr>
        <w:pStyle w:val="a4"/>
        <w:numPr>
          <w:ilvl w:val="0"/>
          <w:numId w:val="11"/>
        </w:numPr>
        <w:tabs>
          <w:tab w:val="left" w:pos="1624"/>
        </w:tabs>
        <w:spacing w:after="0" w:line="240" w:lineRule="auto"/>
        <w:ind w:hanging="2686"/>
        <w:jc w:val="center"/>
        <w:rPr>
          <w:rFonts w:ascii="Times New Roman" w:hAnsi="Times New Roman" w:cs="Times New Roman"/>
          <w:b/>
          <w:sz w:val="28"/>
          <w:szCs w:val="28"/>
          <w:lang w:val="en-US"/>
        </w:rPr>
      </w:pPr>
      <w:r w:rsidRPr="0068182D">
        <w:rPr>
          <w:rFonts w:ascii="Times New Roman" w:hAnsi="Times New Roman" w:cs="Times New Roman"/>
          <w:b/>
          <w:color w:val="000000"/>
          <w:sz w:val="28"/>
          <w:szCs w:val="28"/>
          <w:lang w:val="en-US"/>
        </w:rPr>
        <w:t>The concept of "M</w:t>
      </w:r>
      <w:r w:rsidRPr="0068182D">
        <w:rPr>
          <w:rFonts w:ascii="Times New Roman" w:eastAsia="Times New Roman" w:hAnsi="Times New Roman" w:cs="Times New Roman"/>
          <w:b/>
          <w:color w:val="000000"/>
          <w:sz w:val="28"/>
          <w:szCs w:val="28"/>
          <w:lang w:val="en-US"/>
        </w:rPr>
        <w:t>ultiplier"</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Concept of Multiplier: </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theory of multiplier occupies an important place in the modern theory of income and employment. The concept of multiplier was first of all developed by F.A. Kahn in the early 1930s. But Keynes later further refined it. F.A. Kahn developed the concept of multiplier with reference to the increase in employment, direct as well as indirect, as a result of initial increase in investment and employment.</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Keynes, however, propounded the concept of multiplier with reference to the increase in total income, direct as well as indirect, as a result of original increase in investment and income. Therefore, whereas Kahn’s multiplier is known as ’employment multiplier’, Keynes’s multiplier is known as investment or income multiplier.</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essence of multiplier is that total increase in income, output or employment is manifold the original increase in investment. For example, if investment equal to Rs. 100 crores is made, then the income will not rise by Rs. 100 crores only but a multiple of it.</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If as a result of the investment of Rs. 100 crores, the national income increases by Rs. 300 crores, multiplier is equal to 3. If as a result of investment of Rs. 100 crores, total national income increases by Rs. 400 crores, multiplier is 4. The multiplier is, therefore, the ratio of increment in income to the increment in investment. If ΔI stands for increment in investment and AY stands for the resultant increase in income, then multiplier is equal to the ratio of increment in income (Δy) to the increment in investment (ΔI). Therefore k = ΔY/ΔI where k stands for multiplier.</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Now, the question is why the increase in income is many times more than the initial increase in investment. It is easy to explain this. Suppose Government undertakes investment expenditure equal to Rs. 100 crores on some public works, say the construction of rural roads.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For this Government will pay wages to the labourers engaged, prices for the materials to the suppliers and remunerations to other factors who make contribution to the work of road-building. The total cost will amount to Rs. 100 crores. This will increase incomes of the people equal to Rs. 100 crores.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But this is not all. The people who receive Rs. 100 crores will spend a good part of them on consumer goods. Suppose marginal propensity to consume of the people is 4/5 or 80%. Then out of Rs. 100 crores they will spend Rs. 80 crores on consumer goods, which would increase incomes of those people who supply consumer goods equal to Rs. 80 crores. But those who receive these Rs. 80 crores will also in turn spend these incomes, depending upon their marginal propensity to consume. If their marginal propensity to consume is also 4/5, then they will spend Rs. 64 crores on consumer goods.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Thus, this will further increase incomes of some other people equal to Rs. 64 crores. In this way, the chain of consumption expenditure would continue and the income of the people will go on increasing. But every additional increase in income will be progressively less since a part of the income received will be saved. Thus, we see that the income will not increase by only Rs. 100 crores, which was initially invested in the construction of roads, but by many time more.</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Assumptions of Multiplier Theory: </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our above explanation of multiplier, we have made many simplifying assumptions. First, we have assumed that the marginal propensity to consume remains constant throughout as the income increases in various rounds of consumption expenditure. However, the marginal propensity to consume may differ in various rounds of consumption expenditure.</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But this constancy of marginal propensity to consume is a realistic assumption, since all available empirical evidence shows that marginal propensity to consume is very stable in the short run. Secondly, we have assumed that there is a net increase in investment in a period and no further indirect effects on investment in that period occur or if they occur they have been taken into account so that there is a given net increase in investment.</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Further, we have assumed that there is no any time-lag between the increase in investment and the resultant increment in income. That is, increment in income takes place instantaneously as a result of increment in investment. J.M. Keynes ignored the time-lag in the process of income generation and therefore his multiplier is also called instantaneous multiplier. In recent years, the importance of time lag has been recognised and concept of dynamic multiplier has been developed on that basis. But in an ele­mentary study as the present one the time lags will be ignored as was done by Keynes.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Another important assumption in the theory of multiplier is that excess capacity exists in the consumer goods industries so that when the demand for them increases, more amounts of consumer goods can be produced to meet this demand. If there is no excess capacity in consumer goods industries, the increase in demand as a result of some original increase in investment will bring about rise in prices rather than increases in real income, output and employment. </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Keynes’s multiplier was evolved in the context of advanced capitalist economies which were in grip of depression and in times of depression and there did exist excess capacity in the consumer goods industries due to lack of aggregate demand. The Keynesian multiplier effect is very small in developing countries like India since there is not much excess capacity in consumer goods industries.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our above analysis of the multiplier process we have taken a closed economy, that is, we have not taken into account imports and exports. If ours were an open economy, then a part of the increment in consumption expenditure would have been made on imports of goods from abroad.</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This would have caused increment in income in foreign countries rather than within the country. This will reduce the value of the multiplier. Imports are important leakage from the multiplier process and we have ignored them in our above analysis for the purpose of simplicity.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It is worth noting that multiplier not only works in money terms but also in real terms. In other words, multiple increments in income as a result of a given net increase in investment does not only take place in money terms but also in terms of real output, that is, in terms of goods and services. When incomes increase as a result of investment and these increments in income are spent on consumer goods, the output of consumer goods is increased to meet the extra demand brought about by increased incomes.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Therefore, real income or output, increases by the same amount as the increment in money incomes, since the prices of goods have been assumed to be constant. Of course, we have assumed, as has been mentioned above, that there exists excess productive capacity in the consumer goods industries so that when the demand for consumer goods increases, their production can be easily increased to meet this demand. However, if due to some bottlenecks output of goods cannot be increased in response to increasing demand, prices will rise and as result the real multiplier effect will be small.</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Diagrammatic Representation of Multiplier: </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We have already explained that the level of national income is determined by the equilib­rium between aggregate demand and aggregate supply. In other words, the level of national income is fixed at the level where C + I curve intersects the 45° income curve. With such a diagram we can explain the multiplier. The multiplier is illustrated in Fig. 9.1. In this figure C represents marginal propensity to consume. Marginal propensity to consume has been here assumed to be equal to 1/2 i.e., 0.5. Therefore, the slope of the curve C of marginal propensity to consume curve C has been taken to be equal to 0.5. C + I represents aggregate demand curve. It will be seen from Fig. 91 that the aggregate demand curve C + I which intersects the 45° line at point E so that the level of income equal to OY1 is determined.</w:t>
      </w:r>
    </w:p>
    <w:p w:rsidR="00B748C5" w:rsidRPr="0068182D" w:rsidRDefault="00B748C5" w:rsidP="00B748C5">
      <w:pPr>
        <w:tabs>
          <w:tab w:val="left" w:pos="996"/>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If investment increases by the amount EH we can then find out how much increment in income will occur as a result of this. As a consequence of increase in investment by EH, the aggregate demand curve shifts upward to the new position C + I’. This new aggregate demand curve C + I’ intersects the 45° income line at point F so that the equilibrium level of income increases to OY2.</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p>
    <w:p w:rsidR="004379E3" w:rsidRPr="0068182D" w:rsidRDefault="004379E3" w:rsidP="00FF2DA0">
      <w:pPr>
        <w:spacing w:after="0" w:line="240" w:lineRule="auto"/>
        <w:ind w:firstLine="709"/>
        <w:jc w:val="center"/>
        <w:rPr>
          <w:rFonts w:ascii="Times New Roman" w:hAnsi="Times New Roman" w:cs="Times New Roman"/>
          <w:sz w:val="28"/>
          <w:szCs w:val="28"/>
          <w:lang w:val="en-US"/>
        </w:rPr>
      </w:pPr>
      <w:r w:rsidRPr="0068182D">
        <w:rPr>
          <w:rFonts w:ascii="Times New Roman" w:hAnsi="Times New Roman" w:cs="Times New Roman"/>
          <w:noProof/>
          <w:sz w:val="28"/>
          <w:szCs w:val="28"/>
        </w:rPr>
        <w:drawing>
          <wp:inline distT="0" distB="0" distL="0" distR="0">
            <wp:extent cx="3296833" cy="3135086"/>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301864" cy="3139870"/>
                    </a:xfrm>
                    <a:prstGeom prst="rect">
                      <a:avLst/>
                    </a:prstGeom>
                    <a:noFill/>
                    <a:ln w="9525">
                      <a:noFill/>
                      <a:miter lim="800000"/>
                      <a:headEnd/>
                      <a:tailEnd/>
                    </a:ln>
                  </pic:spPr>
                </pic:pic>
              </a:graphicData>
            </a:graphic>
          </wp:inline>
        </w:drawing>
      </w:r>
    </w:p>
    <w:p w:rsidR="004379E3" w:rsidRPr="0068182D" w:rsidRDefault="004379E3" w:rsidP="00FF2DA0">
      <w:pPr>
        <w:tabs>
          <w:tab w:val="left" w:pos="996"/>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Hence as a result of net increase in investment equal to EH, the income has increased by Y1Y2. It will be seen from the figure that Y1Y2 is greater than EH. On measuring, it will be found that Y1Y2 is twice the length of EH. This is as it is expected because the marginal propensity to consume is here equal to 1/2 and therefore the size of multiplier will be equal to 2.</w:t>
      </w:r>
    </w:p>
    <w:p w:rsidR="004379E3" w:rsidRPr="0068182D" w:rsidRDefault="004379E3" w:rsidP="00FF2DA0">
      <w:pPr>
        <w:tabs>
          <w:tab w:val="left" w:pos="996"/>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multiplier can be illustrated through saving-investment diagram also. In a previous chapter we explained the determination of national income also through saving the investment. Therefore, the multiplier can also be explained with the help of saving- investment diagram, as has been shown in Fig. 9.2. In this figure SS is the saving curve indicating that as the level of income increases, the community plans to save more. II is the investment curve showing the level of investment planned to be undertaken by the investors in the community.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p>
    <w:p w:rsidR="004379E3" w:rsidRPr="0068182D" w:rsidRDefault="004379E3" w:rsidP="00FF2DA0">
      <w:pPr>
        <w:spacing w:after="0" w:line="240" w:lineRule="auto"/>
        <w:ind w:firstLine="709"/>
        <w:jc w:val="center"/>
        <w:rPr>
          <w:rFonts w:ascii="Times New Roman" w:hAnsi="Times New Roman" w:cs="Times New Roman"/>
          <w:sz w:val="28"/>
          <w:szCs w:val="28"/>
          <w:lang w:val="en-US"/>
        </w:rPr>
      </w:pPr>
      <w:r w:rsidRPr="0068182D">
        <w:rPr>
          <w:rFonts w:ascii="Times New Roman" w:hAnsi="Times New Roman" w:cs="Times New Roman"/>
          <w:noProof/>
          <w:sz w:val="28"/>
          <w:szCs w:val="28"/>
        </w:rPr>
        <w:drawing>
          <wp:inline distT="0" distB="0" distL="0" distR="0">
            <wp:extent cx="3782242" cy="3371726"/>
            <wp:effectExtent l="19050" t="0" r="8708"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795094" cy="3383183"/>
                    </a:xfrm>
                    <a:prstGeom prst="rect">
                      <a:avLst/>
                    </a:prstGeom>
                    <a:noFill/>
                    <a:ln w="9525">
                      <a:noFill/>
                      <a:miter lim="800000"/>
                      <a:headEnd/>
                      <a:tailEnd/>
                    </a:ln>
                  </pic:spPr>
                </pic:pic>
              </a:graphicData>
            </a:graphic>
          </wp:inline>
        </w:drawing>
      </w:r>
    </w:p>
    <w:p w:rsidR="004379E3" w:rsidRPr="0068182D" w:rsidRDefault="004379E3" w:rsidP="00FF2DA0">
      <w:pPr>
        <w:tabs>
          <w:tab w:val="left" w:pos="1072"/>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investment has been taken to be a constant amount and autonomous of changes in income. This investment level 01 has been determined by marginal efficiency of capital and the rate of interest. Investment being autonomous of income means that it does not change with the level of income.</w:t>
      </w:r>
    </w:p>
    <w:p w:rsidR="004379E3" w:rsidRPr="0068182D" w:rsidRDefault="004379E3" w:rsidP="00FF2DA0">
      <w:pPr>
        <w:tabs>
          <w:tab w:val="left" w:pos="1072"/>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Keynes treated investment as autonomous of income and we will here follow him. It will be seen from Fig. 9.2 that saving and investment curves intersect at point E, that is, planned saving and planned investment are in equilibrium at the level of income OY1.</w:t>
      </w:r>
    </w:p>
    <w:p w:rsidR="004379E3" w:rsidRPr="0068182D" w:rsidRDefault="004379E3" w:rsidP="00FF2DA0">
      <w:pPr>
        <w:tabs>
          <w:tab w:val="left" w:pos="1072"/>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Thus, with the given saving and investment curves level of income equal to OY1 is determined. Now suppose that there is an increase in investment by the amount II’. With this increase in investment, the investment curve shifts to the new dotted position I’I’.</w:t>
      </w:r>
    </w:p>
    <w:p w:rsidR="004379E3" w:rsidRPr="0068182D" w:rsidRDefault="004379E3" w:rsidP="00FF2DA0">
      <w:pPr>
        <w:tabs>
          <w:tab w:val="left" w:pos="1072"/>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This new investment curves I’I’ intersects the saving curve at point F and a new equilibrium as reached at the level of income OY2. A glance at the Fig. 9.2 will reveal that the increase in income Y1 Y2 is twice the increase in investment by II’. Thus multiplier is here equal to [K=1/0.5=2].</w:t>
      </w:r>
    </w:p>
    <w:p w:rsidR="004379E3" w:rsidRPr="0068182D" w:rsidRDefault="004379E3" w:rsidP="00FF2DA0">
      <w:pPr>
        <w:spacing w:after="0" w:line="240" w:lineRule="auto"/>
        <w:rPr>
          <w:rFonts w:ascii="Times New Roman" w:hAnsi="Times New Roman" w:cs="Times New Roman"/>
          <w:sz w:val="28"/>
          <w:szCs w:val="28"/>
          <w:lang w:val="en-US"/>
        </w:rPr>
      </w:pPr>
    </w:p>
    <w:p w:rsidR="004379E3" w:rsidRPr="0068182D" w:rsidRDefault="004379E3" w:rsidP="00FF2DA0">
      <w:pPr>
        <w:pStyle w:val="a4"/>
        <w:numPr>
          <w:ilvl w:val="0"/>
          <w:numId w:val="11"/>
        </w:numPr>
        <w:tabs>
          <w:tab w:val="left" w:pos="2895"/>
        </w:tabs>
        <w:spacing w:after="0" w:line="240" w:lineRule="auto"/>
        <w:ind w:hanging="1552"/>
        <w:rPr>
          <w:rFonts w:ascii="Times New Roman" w:hAnsi="Times New Roman" w:cs="Times New Roman"/>
          <w:b/>
          <w:sz w:val="28"/>
          <w:szCs w:val="28"/>
          <w:lang w:val="en-US"/>
        </w:rPr>
      </w:pPr>
      <w:r w:rsidRPr="0068182D">
        <w:rPr>
          <w:rFonts w:ascii="Times New Roman" w:eastAsia="Times New Roman" w:hAnsi="Times New Roman" w:cs="Times New Roman"/>
          <w:b/>
          <w:color w:val="000000"/>
          <w:sz w:val="28"/>
          <w:szCs w:val="28"/>
          <w:lang w:val="en-US"/>
        </w:rPr>
        <w:t>Post-Keynesian theory of public finance</w:t>
      </w:r>
    </w:p>
    <w:p w:rsidR="004379E3" w:rsidRPr="0068182D" w:rsidRDefault="004379E3" w:rsidP="00FF2DA0">
      <w:pPr>
        <w:tabs>
          <w:tab w:val="left" w:pos="1915"/>
        </w:tabs>
        <w:spacing w:after="0" w:line="240" w:lineRule="auto"/>
        <w:ind w:firstLine="709"/>
        <w:jc w:val="both"/>
        <w:rPr>
          <w:rFonts w:ascii="Times New Roman" w:hAnsi="Times New Roman" w:cs="Times New Roman"/>
          <w:sz w:val="28"/>
          <w:szCs w:val="28"/>
          <w:lang w:val="kk-KZ"/>
        </w:rPr>
      </w:pPr>
      <w:r w:rsidRPr="0068182D">
        <w:rPr>
          <w:rFonts w:ascii="Times New Roman" w:hAnsi="Times New Roman" w:cs="Times New Roman"/>
          <w:sz w:val="28"/>
          <w:szCs w:val="28"/>
          <w:lang w:val="en-US"/>
        </w:rPr>
        <w:t>The term post-Keynesian was first used to refer to a distinct school of economic thought by Eichner and Kregel (1975) and by the establishment of the Journal of Post Keynesian Economics in 1978. Prior to 1975, and occasionally in more recent work, post-Keynesian could simply mean economics carried out after 1936, the date of Keynes's The General Theory.</w:t>
      </w:r>
    </w:p>
    <w:p w:rsidR="004379E3" w:rsidRPr="0068182D" w:rsidRDefault="004379E3" w:rsidP="00FF2DA0">
      <w:pPr>
        <w:tabs>
          <w:tab w:val="left" w:pos="1915"/>
        </w:tabs>
        <w:spacing w:after="0" w:line="240" w:lineRule="auto"/>
        <w:ind w:firstLine="709"/>
        <w:jc w:val="both"/>
        <w:rPr>
          <w:rFonts w:ascii="Times New Roman" w:hAnsi="Times New Roman" w:cs="Times New Roman"/>
          <w:sz w:val="28"/>
          <w:szCs w:val="28"/>
          <w:lang w:val="kk-KZ"/>
        </w:rPr>
      </w:pPr>
      <w:r w:rsidRPr="0068182D">
        <w:rPr>
          <w:rFonts w:ascii="Times New Roman" w:hAnsi="Times New Roman" w:cs="Times New Roman"/>
          <w:sz w:val="28"/>
          <w:szCs w:val="28"/>
          <w:lang w:val="en-US"/>
        </w:rPr>
        <w:t>Post-Keynesian economists are united in maintaining that Keynes's theory is seriously misrepresented by the two other principal Keynesian schools: neo-Keynesian economics which was orthodox in the 1950s and 60s – and by New Keynesian economics, which together with various strands of neoclassical economics has been dominant in mainstream macroeconomics since the 1980s. Post-Keynesian economics can be seen as an attempt to rebuild economic theory in the light of Keynes's ideas and insights. However even in the early years post-Keynesians such as Joan Robinson sought to distance themselves from Keynes himself and much current post-Keynesian thought cannot be found in Keynes. Some Post Keynesians took an even more progressive view than Keynes with greater emphases on worker friendly policies and re-distribution. Robinson, Paul Davidson and Hyman Minsky were notable for emphasising the effects on the economy of the practical differences between different types of investments in contrast to Keynes' more abstract treatment.</w:t>
      </w:r>
    </w:p>
    <w:p w:rsidR="004379E3" w:rsidRPr="0068182D" w:rsidRDefault="004379E3" w:rsidP="00FF2DA0">
      <w:pPr>
        <w:tabs>
          <w:tab w:val="left" w:pos="1915"/>
        </w:tabs>
        <w:spacing w:after="0" w:line="240" w:lineRule="auto"/>
        <w:ind w:firstLine="709"/>
        <w:jc w:val="both"/>
        <w:rPr>
          <w:rFonts w:ascii="Times New Roman" w:hAnsi="Times New Roman" w:cs="Times New Roman"/>
          <w:sz w:val="28"/>
          <w:szCs w:val="28"/>
          <w:lang w:val="kk-KZ"/>
        </w:rPr>
      </w:pPr>
      <w:r w:rsidRPr="0068182D">
        <w:rPr>
          <w:rFonts w:ascii="Times New Roman" w:hAnsi="Times New Roman" w:cs="Times New Roman"/>
          <w:sz w:val="28"/>
          <w:szCs w:val="28"/>
          <w:lang w:val="en-US"/>
        </w:rPr>
        <w:t>The theoretical foundation of post-Keynesian economics is the principle of effective demand, that demand matters in the long as well as the short run, so that a competitive market economy has no natural or automatic tendency towards full employment.</w:t>
      </w:r>
      <w:r w:rsidRPr="0068182D">
        <w:rPr>
          <w:rFonts w:ascii="Times New Roman" w:hAnsi="Times New Roman" w:cs="Times New Roman"/>
          <w:sz w:val="28"/>
          <w:szCs w:val="28"/>
          <w:lang w:val="kk-KZ"/>
        </w:rPr>
        <w:t xml:space="preserve"> </w:t>
      </w:r>
      <w:r w:rsidRPr="0068182D">
        <w:rPr>
          <w:rFonts w:ascii="Times New Roman" w:hAnsi="Times New Roman" w:cs="Times New Roman"/>
          <w:sz w:val="28"/>
          <w:szCs w:val="28"/>
          <w:lang w:val="en-US"/>
        </w:rPr>
        <w:t>Contrary to the views of New Keynesian economists working in the neo-classical tradition, post-Keynesians do not accept that the theoretical basis of the market failure to provide full employment is rigid or sticky prices or wages. Post-Keynesians typically reject the IS/LM model of John Hicks, which was very influential in neo-Keynesian economics.</w:t>
      </w:r>
    </w:p>
    <w:p w:rsidR="004379E3" w:rsidRPr="0068182D" w:rsidRDefault="004379E3" w:rsidP="00FF2DA0">
      <w:pPr>
        <w:tabs>
          <w:tab w:val="left" w:pos="1915"/>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contribution of post-Keynesian economics has extended beyond the theory of aggregate employment to theories of income distribution, growth, trade and development in which money demand plays a key role, whereas in neoclassical economics these are determined by the forces of technology, preferences and endowment. In the field of monetary theory, post-Keynesian economists were among the first to emphasise that the money supply responds to the demand for bank credit, so that the central bank cannot control the quantity of money, but only manage the interest rate by managing the quantity of monetary reserves.</w:t>
      </w:r>
    </w:p>
    <w:p w:rsidR="004379E3" w:rsidRPr="0068182D" w:rsidRDefault="004379E3" w:rsidP="00FF2DA0">
      <w:pPr>
        <w:tabs>
          <w:tab w:val="left" w:pos="1915"/>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This view has largely been incorporated into monetary policy, which now targets the interest rate as an instrument, rather than the quantity of money. In the field of finance, Hyman Minsky put forward a theory of financial crisis based on financial fragility, which has recently received renewed attention.</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Post Keynesian economics has many theories but one of the foundations is effective demand, and that it matters in both the long run and the short run. Effective demand is when the demand for a good but are constrained in a different market, but it also means that a competitive market economy has no natural or automatic tendency towards full employment.  This contradicts New Keynesian theory working in the Neo-Classical tradition.  Post Keynesians do not accept that market failure to provide full employment is caused by sticky wages or prices.  They also reject the IS/LM model.  Contributions of Post Keynesians include theories of income distribution, growth, trade and development where money demand is very important when it comes to aggregate employment, unlike neoclassical economics which believe in theories of technology, endowment and preferences.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Post Keynesians were one of the first to emphasize that the money supply reacts to bank credit demand.  This means that the central bank can only influence the quantity of money or the interest rate but not both.  This theory has been incorporated into monetary policy and Minsky put forward a theory of financial crisis based on financial fragility.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Rejection of Say’s Law</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Post Keynesians rejects Say’s law, which they claim is not a true law when we model an economy that has real-world characteristics.  They overthrow the classical dichotomy by stating, money matters in the long run and short run, money and liquidity preference are not neutral and they affect real decision making.  They reject the idea that the economic system moves through time from the past to an uncertain future.  Important decisions involving production, investment and consumption activities are taken in an uncertain environment.  They also reject forward contracts, in money terms, are a human institution developed to efficiently organize time-consuming production and exchange precesses.  The money wage contract is the most ubiquitous of these contracts and modern production economies are on a money wage contract-based system.  Most importantly, Post-Keynesians assert that unemployment, rather than full employment, is a common laissez-faire situation.</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Post Keynesian economists went back to the General Theory to try and truly interpret what Keynes was saying. One of the reasons they reject Say’s Law is because Keynes himself had an issue with the taxonomy of Say’s Law.  Keynes stated that people are using the same words to describe things with different meanings and created new definitions in order to explain why Say’s Law is not the true law relating the AD and AS functions.  He SG: Who? required Keynes needed to demonstrate that a change in relative prices by a substitution effect could not resurrect Say’s Law.  Keynes said time preference determines how much of current income is spend on currently produced consumption goods and how much is not spent on consumption goods but is instead saved by purchasing liquid assets.  Liquidity preference is where the income earner determines in what type of liquid assets are saved income to be stored in order to be used to transfer purchasing power of saving to a future time period.  Since all liquid assets have certain essential properties, the demand for liquid assets does not exactly create a demand for the products.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Hyman Minsky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interpretation of Keynes was assimilated into traditional economics without emphasis upon finance and debt was lost.  Today, an abstract non-financial economy is analyzed and theorems about this economy are applied to complex economies with financial and monetary institutions.  Policy advice based upon the neoclassical synthesis rests upon this act of faith so this cannot be a basis for a serious approach to economic policy.  Keynes advanced an investment theory of why our economy is susceptible to fluctuations and a financial theory of investment that is especially relevant for our economy.  The panics, debt deflations and deep depressions that historically followed a speculative boom as well as the recovery from depressions are of lesser importance in the analysis of instability than the developments over a period characterized by sustained growth that lead to the emergence of fragile and unstable financial structures.”  (Minsky, Stabilizing an Unstable Economy)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Minsky developed his financial instability hypothesis which states that in a capitalist economy, market mechanisms cannot lead to a sustained, stable-price, full-employment equilibrium. Financial behavior essential to capitalism will lead to serious business cycles.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This contrasts to neoclassical economics. Neoclassical economics states that unless disturbed by an exogenous event, a decentralized market economy will lead to full employment equilibrium. Because Minsky’s theory is derived from the behavior and incentives of a capitalist economy, it’s important to know the characteristics of such an economy. The means of production are privately owned and the income of the owners of capital assets is the difference between the revenue and labor costs associated with that capital. In addition, capital assets can be both traded and used as collateral and the financial instruments that enable pledging capital assets can also be traded. And because they can be traded, they have a market price. So what happens is that, the future income derived from capital assets is transformed into current prices.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prices of capital and financial assets depend upon the future cash flows that they are expected to generate and the capitalization rate. Since investment creates the profits of production and distribution of output, today’s investment determines the cash flows available to fulfill financial obligations of the past. So if a capitalist economy is to function normally, capital income and implicitly investment needs to sustain a level of capital asset income that validates past debts. If this doesn’t happen, the prices of capital assets and debts fall, and such a decline adversely affects investment demand.</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Minsky’s view, investment is the essential determinant of the path of a capitalist economy. So it’s important to know how investment works. The demand for capital assets is determined by their expected profit. This demand can be augmented by debt financing of capital and financial assets. The extent of debt-financing and the financial instruments used in creating such demand reflects the willingness of businessmen and bankers to speculate on future cash flows.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main idea Minsky promotes is that when full employment is achieved, businessmen and bankers tend to accept larger levels of debt-financing because there are confident that they’ll succeed. During periods of tranquil expansion (it’s important to note that Minsky doesn’t believe in equilibrium, but in periods of tranquility, a term borrowed from Joan Robinson), profit-seeking financial institutions invent new forms of money or substitutes for money in portfolios. Financial innovation is a characteristic of an expansionary economy.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These financial innovations enable the financing of more demand for capital and financial assets or of more investment. Financial innovation thus tends to increase capital gains, investment and profits. This results in an economy expanding beyond the tranquil full-employment state. What Minsky concludes is that the temporary full employment state leads through financial innovation to an expansion of debt-financing and moves the economy beyond full employment.</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During a tranquil expansion, the price of capital assets relative to the price of current output increases, consumption and investment increase. The subsequent increase in profits lowers the value of the liquidity of money. So, in the eyes of businessmen and bankers the value of insurance or liquidity that money offers decreases. The value of liquidity will continue to decrease as the period of expansionary tranquility extends. The debt to equity ratios increases even as the value of the equity increases.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View on Elasticity and Money Contracts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essential properties of interest and money are what differentiate Post-Keynesian economics from old classical, new classical, old and new Keynesian theory, so basically all mainstream macroeconomic theory.  The essential properties are that the elasticity of productivity of all liquid assets including money was zero or negligible and the elasticity of substitution between liquid assets (including money) are reproducible goods was zero or negligible.</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zero elasticity of productivity of money means that when the demand for money increases, entrepreneurs cannot hire labor to produce more money to meet this change in demand for non-reproducible goods.  Zero elasticity of substitution means that the portion of income that is not spent on consumption will find ‘resting places’ in the demand for non-producible goods, a good man can not make.</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Hahn- “Say’s law is violated and involuntary unemployment occurs whenever there are ‘resting places for savings in other than reproducible assets.’ The existence of non-reproducible goods (all liquid assets) that would be demanded for stores of new savings means that all income earned by engaging in the production of goods is not, in the short or long run, necessarily spend on products producible by labor.  An increased demand for ‘savings’, even if it raises the relative price of non-producibles, will not spill over into a demand for producible goods. So deny gross substitution axiom.”</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economy today utilizes money contracts to seal production and exchange agreements and binding nominal contractual commitments are a sensible method for dealing with true uncertainty regarding future outcomes whenever economic activities span a long durations.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Risk and Uncertainty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Risk can be quantified; uncertainty cannot be quantified. Risk is not knowing what is going to happen next; it’s a calculation of the distribution of observable/observed past events, and based on that distribution it assumes the likelihood of an event contained happening in the future. Uncertainty is not knowing what will happen and not knowing the possible distribution.  A statistical and quantifiable approach can clarify between the two.  The future is unknown but sometimes there are options available that can be chosen.  A dice is a perfect example of risk, the outcome is unknown but the options are clear, 1 through 6 with each digit having a 1 in 6 chance of facing up.</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p>
    <w:p w:rsidR="004379E3" w:rsidRPr="0068182D" w:rsidRDefault="004379E3" w:rsidP="00FF2DA0">
      <w:pPr>
        <w:spacing w:after="0" w:line="240" w:lineRule="auto"/>
        <w:ind w:firstLine="709"/>
        <w:jc w:val="both"/>
        <w:rPr>
          <w:rFonts w:ascii="Times New Roman" w:hAnsi="Times New Roman" w:cs="Times New Roman"/>
          <w:i/>
          <w:sz w:val="28"/>
          <w:szCs w:val="28"/>
          <w:lang w:val="en-US"/>
        </w:rPr>
      </w:pPr>
      <w:r w:rsidRPr="0068182D">
        <w:rPr>
          <w:rFonts w:ascii="Times New Roman" w:hAnsi="Times New Roman" w:cs="Times New Roman"/>
          <w:i/>
          <w:sz w:val="28"/>
          <w:szCs w:val="28"/>
          <w:lang w:val="en-US"/>
        </w:rPr>
        <w:t>Minsky’s Financial Theory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Minsky provides an alternative analysis of Keynes’s theory. The two key building blocks of his financial theory of investment and investment theory of the cycle are the two price systems and the difference between lender’s risk and borrower’s risk.</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Minsky distinguishes between a price system for current output and one for asset princes.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price system for current output is determined by the cost plus mark-up, set at a level that will generate profits. This price system covers consumer goods and services, investment goods and goods and services purchased by government. When purchases of capital are financed from internal funds, the current output price of investment goods is effectively a supply price of capital – the price sufficient to induce a supplier to provide new capital assets. If the firm must borrow external funds, then the supply price of capital also includes finance cost (i.e. the interest rate payments and other finance fees). The supply price will increase, as it also has to cover lender’s risk.</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second price system covers assets that are expected to generate a stream of income and possibly capital gains. The income stream derived from such assets cannot be known with certainty, and their value depends on subjective expectations. How much would one pay for the expected revenue that it can generate? But their value is again augmented by borrower’s risk since the price one is willing to pay depends on the amount of external finance required.</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Investment can only proceed if the demand price exceeds the supply price of capital assets. Because these prices include margins of safety (lenders and borrower’s risk), they are affected by expectations concerning unknowable outcomes. In a recovery from a severe downturn, margins are large as expectations are muted.</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Over time, if an expansion exceeds pessimistic projections these margins prove to be larger than necessary. Thus, margins will be reduced to the degree that projects are generally successful. Over the course of an expansion, the financial stances (hedge, speculative, ponzi) evolve from largely hedge to include ever rising proportions of speculative and even Ponzi positions.  The hedge stage occurs after a financial crisis when banks and borrowers are cautious and borrowers are able to play both the interest and the principal. The speculative stage of financial stances occurs when confidence rises and borrowers are be awarded loans for which they only afford to pay the interest. In the last stage, Ponzi finance implies that banks offer loans that cannot be repaid at all. Neither the principal nor the interest is repaid.</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Aggregate demand includes expenditures on goods and services, including financial assets and services. While neoclassical economics attempts to analyze the economy, while ignoring the financial system, post-Keynesians believe that the economy is intimately linked to finance. Thus, post-Keynesians identify three main sources of aggregate demand. One is the demand derived from income earned by selling goods and services, which primarily drive consumption of goods and services. The second is demand originating from entrepreneurial debt which forms the bulk of investment. Lastly, the third major source of aggregate demand is the one rising from Ponzi debt, which funds the acquisition of current assets.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New Keynesians and Monetarists consider that banks can raise demand by lending the savings of those with a low propensity to spend to those with a higher propensity to spend. They don’t really create higher purchasing power, but simply redistribute the power to those willing to use it.</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Endogenous Theory of Money states that banks can create money “out of thin air”. They do not lend out savings and their lending ability is not limited by deposits or reserves. All economic agents (households, firms, financial institutions, governments) can be labeled as banks since they all take positions in assets by issuing liabilities, with margins of safety maintained for protection.</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1. One margin of safety is the excess of income expected to be generated by the ownership of assets over the payment commitments entailed in the liabilities.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2. Another is net worth. For a given expected income stream, the greater value of assets relative to liabilities, the greater the margin of safety.</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3. Another margin of safety is the liquidity of the position: if assets can be sold quickly or pledged as collateral in a loan, the margin of safety is bigger.</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If a disruption occurs, economic agents that rely on a continual stream of refinancing will try to sell assets to meet cash commitments.  What will occur is what Irving Fisher calls a debt deflation: a generalized sell-off is going to drive asset prices toward zero, since financial assets and liabilities net to zero.</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Specialized financial institutions can protect markets from debt deflation by standing ready to purchase or lend against assets, preventing prices from falling. However they might be overwhelmed by the contagion and refuse to provide finance.  Central banks have to intervene as a lender of last resort by temporarily providing finance and stopping debt deflation with their ability to purchase or lend assets without limit.</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institutions are special because they are very highly leveraged: for every dollar they might issue 95 cents of liability. Their positions in assets are really financed positions. Traditional commercial banks make short term loans that are collateralized by goods in production and distribution. The loans are made good as soon as the goods are sold. The bank’s position is financed by issuing short-term liabilities such as demand and savings deposits. Essentially, a firm borrows to pay wages and raw materials (the costs of production), with the bank advancing demand deposits received by workers and suppliers. When the finished goods are sold, firms are able to repay the loans. Banks charge higher interest on loans than they pay on deposits – with the net interest margin supplying bank profits.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From this process we observe that banks do not sit and wait for deposits in order to lend. Rather the process is precisely the reverse: banks accept the IOU from the firm that needs to pay for wages and raw materials, and then create a deposit that the firm uses for its purchases. The Endogenous Money Theory states that loans create deposits, in the sense that bank buys the IOU from the firm by issuing its own deposit IOUs.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If deposits are to maintain parity, losses on assets must be very small because the commercial bank’s equity (what it makes from the difference in interest rates) must absorb all asset value reduction. Thus, it is the duty of the banker to be skeptical. Bankers hold the key to the business cycle, because not only do entrepreneurs have to be sufficiently optimistic to invest, they must also find a banker willing to advance the wage bill to produce investment output. By financing the wage bill of workers in the investment goods sector, commercial banks are promoting the capital development of the economy even if they do not actually provide finance for position taking in investment foods.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Once the firm finishes production and sells the output, it receives deposits and uses these to retire the short-term loan. Repaying the loan clears the banks’ balance sheet because the payment on the firm’s IOU brings back to the bank its own IOUs.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Post-Keynesians consider that in a modern, developed, capitalist economy money should be viewed as credit money, an IOU of the issuer and an asset of the holder. Even the state’s own money i.e. the dollar, the RON (The Romanian Leu) etc. is an IOU, which is redeemed in tax payments or other payments owed to the state. Thus, the state’s money is not simply “fiat” currency e.g. “let it be” currency. Rather, its use is driven by the state’s ability to impose tax liabilities on the population, which are subsequently validated when tax payments are made in the state’s IOU. Using the context provided by this definition of money, post-Keynesians consider private money as “pyramiding” or leveraging the state’s money, which is further used for the ultimate net clearing of private balance accounts, as well as for making payments to the state.</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There is no fixed leverage ratio between the quantity of private IOUs issued and the stock of state money existing. (hence, the lack of meaning for the concept of money multiplier in post-Keynesian economics). Most creation of state money occurs when the state spends, and most destruction occurs when the state recovers the population’s tax liabilities. The central bank also creates and destroys state money as it increases or decreases banking system reserves through the repo rate at the discount window (an instrument used by central banks to allow financial institutions to meet temporary shortages of liquidity) and through open market operations such as the current Large Scale Asset Purchases.</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this context, the supply of money is not exogenously determined and money multiplier effect devoid of meaning. What constrains banks from lending is the point beyond which it would be unprofitable to expand its balance further. The central bank may not be trying to target a particular quantity of currency or of the monetary base, but it can target a price level by varying its lending rate or by taking steps to vary the interbank overnight rate on bank reserves i.e. the federal funds rate, the discount rate. The central bank hasn’t the ability to quantitatively constrain the private sector’s creation of money through quantitative measures of controlling the money supply. Rather, the central bank has the ability to set the overnight interest rate, which has an indirect impact on the quantity of reserves and the quality of privately created money. Post-Keynesians view the supply of reserves as horizontal at the central bank’s target rate. The financial sector has ability to perpetually seek innovation that can reduce the quantity of reserves they need to hold or innovation that increases the return on equity within regulatory constraints. This gives raise to the structuralist post-Keynesian concern regarding the financial sector and the economy, in general. Minsky `was greatly focused on the institutional environment in order to solve the unstable nature of capitalism.</w:t>
      </w:r>
    </w:p>
    <w:p w:rsidR="004379E3" w:rsidRPr="0068182D" w:rsidRDefault="004379E3" w:rsidP="00FF2DA0">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While the central bank is viewed as a lender of last resort, the post-Keynesian establishment views government as an employer of last resort. Instead of reducing poverty through welfare programs and creating a welfare-dependent, marginalized class, the government should offer one full-employment job per low income household. The result of such a policy would be fewer families below the poverty line and an increase in consumption and GDP by a multiple of the extra wages. In Minsky’s view, this is the only situation in which a minimum wage is effective, since if the government is not employer of last resort, the minimum wage is actually zero for all those unemployed. Just as the central bank’s lender of last resort responsibilities create a floor for asset prices by stopping the process of debt-deflation, the government sets a wage floor and subsequently a floor to aggregate demand and consumption.</w:t>
      </w:r>
    </w:p>
    <w:p w:rsidR="00FF2DA0" w:rsidRPr="0068182D" w:rsidRDefault="00FF2DA0" w:rsidP="00C40532">
      <w:pPr>
        <w:spacing w:after="0" w:line="240" w:lineRule="auto"/>
        <w:ind w:firstLine="709"/>
        <w:jc w:val="both"/>
        <w:rPr>
          <w:rFonts w:ascii="Times New Roman" w:hAnsi="Times New Roman" w:cs="Times New Roman"/>
          <w:b/>
          <w:sz w:val="28"/>
          <w:szCs w:val="28"/>
          <w:lang w:val="en-US"/>
        </w:rPr>
      </w:pPr>
    </w:p>
    <w:p w:rsidR="00FF2DA0" w:rsidRPr="0068182D" w:rsidRDefault="00FF2DA0"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Control questions</w:t>
      </w:r>
    </w:p>
    <w:p w:rsidR="00FF2DA0" w:rsidRPr="0068182D" w:rsidRDefault="00FF2DA0" w:rsidP="000537F4">
      <w:pPr>
        <w:pStyle w:val="a4"/>
        <w:numPr>
          <w:ilvl w:val="0"/>
          <w:numId w:val="43"/>
        </w:numPr>
        <w:tabs>
          <w:tab w:val="left" w:pos="3309"/>
        </w:tabs>
        <w:autoSpaceDE w:val="0"/>
        <w:autoSpaceDN w:val="0"/>
        <w:adjustRightInd w:val="0"/>
        <w:spacing w:after="0" w:line="240" w:lineRule="auto"/>
        <w:ind w:right="-284"/>
        <w:jc w:val="both"/>
        <w:rPr>
          <w:rFonts w:ascii="Times New Roman" w:eastAsiaTheme="minorHAnsi" w:hAnsi="Times New Roman" w:cs="Times New Roman"/>
          <w:sz w:val="28"/>
          <w:szCs w:val="28"/>
          <w:lang w:val="en-US" w:eastAsia="en-US"/>
        </w:rPr>
      </w:pPr>
      <w:r w:rsidRPr="0068182D">
        <w:rPr>
          <w:rFonts w:ascii="Times New Roman" w:eastAsiaTheme="minorHAnsi" w:hAnsi="Times New Roman" w:cs="Times New Roman"/>
          <w:sz w:val="28"/>
          <w:szCs w:val="28"/>
          <w:lang w:val="en-US" w:eastAsia="en-US"/>
        </w:rPr>
        <w:t>Concept of Public Finance</w:t>
      </w:r>
    </w:p>
    <w:p w:rsidR="00FF2DA0" w:rsidRPr="0068182D" w:rsidRDefault="00FF2DA0" w:rsidP="000537F4">
      <w:pPr>
        <w:pStyle w:val="a4"/>
        <w:numPr>
          <w:ilvl w:val="0"/>
          <w:numId w:val="43"/>
        </w:numPr>
        <w:tabs>
          <w:tab w:val="left" w:pos="3370"/>
        </w:tabs>
        <w:autoSpaceDE w:val="0"/>
        <w:autoSpaceDN w:val="0"/>
        <w:adjustRightInd w:val="0"/>
        <w:spacing w:after="0" w:line="240" w:lineRule="auto"/>
        <w:ind w:right="-284"/>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Financial concepts</w:t>
      </w:r>
    </w:p>
    <w:p w:rsidR="00FF2DA0" w:rsidRPr="0068182D" w:rsidRDefault="00FF2DA0" w:rsidP="000537F4">
      <w:pPr>
        <w:pStyle w:val="a4"/>
        <w:numPr>
          <w:ilvl w:val="0"/>
          <w:numId w:val="43"/>
        </w:numPr>
        <w:tabs>
          <w:tab w:val="left" w:pos="3370"/>
        </w:tabs>
        <w:autoSpaceDE w:val="0"/>
        <w:autoSpaceDN w:val="0"/>
        <w:adjustRightInd w:val="0"/>
        <w:spacing w:after="0" w:line="240" w:lineRule="auto"/>
        <w:ind w:right="-284"/>
        <w:jc w:val="both"/>
        <w:rPr>
          <w:rFonts w:ascii="Times New Roman" w:hAnsi="Times New Roman" w:cs="Times New Roman"/>
          <w:sz w:val="28"/>
          <w:szCs w:val="28"/>
          <w:lang w:val="en-US"/>
        </w:rPr>
      </w:pPr>
      <w:r w:rsidRPr="0068182D">
        <w:rPr>
          <w:rFonts w:ascii="Times New Roman" w:eastAsia="Times New Roman" w:hAnsi="Times New Roman" w:cs="Times New Roman"/>
          <w:color w:val="000000"/>
          <w:sz w:val="28"/>
          <w:szCs w:val="28"/>
          <w:lang w:val="en-US"/>
        </w:rPr>
        <w:t xml:space="preserve">Public finances in </w:t>
      </w:r>
      <w:r w:rsidRPr="0068182D">
        <w:rPr>
          <w:rFonts w:ascii="Times New Roman" w:hAnsi="Times New Roman" w:cs="Times New Roman"/>
          <w:color w:val="000000"/>
          <w:sz w:val="28"/>
          <w:szCs w:val="28"/>
          <w:lang w:val="en-US"/>
        </w:rPr>
        <w:t>Keynesian Economics</w:t>
      </w:r>
    </w:p>
    <w:p w:rsidR="00FF2DA0" w:rsidRPr="0068182D" w:rsidRDefault="00FF2DA0" w:rsidP="000537F4">
      <w:pPr>
        <w:pStyle w:val="a4"/>
        <w:numPr>
          <w:ilvl w:val="0"/>
          <w:numId w:val="43"/>
        </w:numPr>
        <w:spacing w:after="0" w:line="240" w:lineRule="auto"/>
        <w:ind w:right="-284"/>
        <w:rPr>
          <w:rFonts w:ascii="Times New Roman" w:hAnsi="Times New Roman" w:cs="Times New Roman"/>
          <w:sz w:val="28"/>
          <w:szCs w:val="28"/>
          <w:lang w:val="en-US"/>
        </w:rPr>
      </w:pPr>
      <w:r w:rsidRPr="0068182D">
        <w:rPr>
          <w:rFonts w:ascii="Times New Roman" w:eastAsia="Times New Roman" w:hAnsi="Times New Roman" w:cs="Times New Roman"/>
          <w:color w:val="000000"/>
          <w:sz w:val="28"/>
          <w:szCs w:val="28"/>
          <w:lang w:val="en-US"/>
        </w:rPr>
        <w:t xml:space="preserve">Modern neoclassical theory of public finance </w:t>
      </w:r>
    </w:p>
    <w:p w:rsidR="00FF2DA0" w:rsidRPr="0068182D" w:rsidRDefault="00FF2DA0" w:rsidP="000537F4">
      <w:pPr>
        <w:pStyle w:val="a4"/>
        <w:numPr>
          <w:ilvl w:val="0"/>
          <w:numId w:val="43"/>
        </w:numPr>
        <w:spacing w:after="0" w:line="240" w:lineRule="auto"/>
        <w:ind w:right="-284"/>
        <w:rPr>
          <w:rFonts w:ascii="Times New Roman" w:hAnsi="Times New Roman" w:cs="Times New Roman"/>
          <w:sz w:val="28"/>
          <w:szCs w:val="28"/>
        </w:rPr>
      </w:pPr>
      <w:r w:rsidRPr="0068182D">
        <w:rPr>
          <w:rFonts w:ascii="Times New Roman" w:eastAsia="Times New Roman" w:hAnsi="Times New Roman" w:cs="Times New Roman"/>
          <w:color w:val="000000"/>
          <w:sz w:val="28"/>
          <w:szCs w:val="28"/>
          <w:lang w:val="en-US"/>
        </w:rPr>
        <w:t>Neoclassical synthesis.</w:t>
      </w:r>
    </w:p>
    <w:p w:rsidR="00FF2DA0" w:rsidRPr="0068182D" w:rsidRDefault="00FF2DA0" w:rsidP="000537F4">
      <w:pPr>
        <w:pStyle w:val="a4"/>
        <w:numPr>
          <w:ilvl w:val="0"/>
          <w:numId w:val="43"/>
        </w:numPr>
        <w:spacing w:after="0" w:line="240" w:lineRule="auto"/>
        <w:ind w:right="-284"/>
        <w:rPr>
          <w:rFonts w:ascii="Times New Roman" w:hAnsi="Times New Roman" w:cs="Times New Roman"/>
          <w:sz w:val="28"/>
          <w:szCs w:val="28"/>
        </w:rPr>
      </w:pPr>
      <w:r w:rsidRPr="0068182D">
        <w:rPr>
          <w:rFonts w:ascii="Times New Roman" w:hAnsi="Times New Roman" w:cs="Times New Roman"/>
          <w:color w:val="000000"/>
          <w:sz w:val="28"/>
          <w:szCs w:val="28"/>
          <w:lang w:val="en-US"/>
        </w:rPr>
        <w:t>The concept of "M</w:t>
      </w:r>
      <w:r w:rsidRPr="0068182D">
        <w:rPr>
          <w:rFonts w:ascii="Times New Roman" w:eastAsia="Times New Roman" w:hAnsi="Times New Roman" w:cs="Times New Roman"/>
          <w:color w:val="000000"/>
          <w:sz w:val="28"/>
          <w:szCs w:val="28"/>
          <w:lang w:val="en-US"/>
        </w:rPr>
        <w:t xml:space="preserve">ultiplier". </w:t>
      </w:r>
    </w:p>
    <w:p w:rsidR="00FF2DA0" w:rsidRPr="0068182D" w:rsidRDefault="00FF2DA0" w:rsidP="000537F4">
      <w:pPr>
        <w:pStyle w:val="a4"/>
        <w:numPr>
          <w:ilvl w:val="0"/>
          <w:numId w:val="43"/>
        </w:numPr>
        <w:spacing w:after="0" w:line="240" w:lineRule="auto"/>
        <w:ind w:right="-284"/>
        <w:rPr>
          <w:rFonts w:ascii="Times New Roman" w:hAnsi="Times New Roman" w:cs="Times New Roman"/>
          <w:sz w:val="28"/>
          <w:szCs w:val="28"/>
          <w:lang w:val="en-US"/>
        </w:rPr>
      </w:pPr>
      <w:r w:rsidRPr="0068182D">
        <w:rPr>
          <w:rFonts w:ascii="Times New Roman" w:eastAsia="Times New Roman" w:hAnsi="Times New Roman" w:cs="Times New Roman"/>
          <w:color w:val="000000"/>
          <w:sz w:val="28"/>
          <w:szCs w:val="28"/>
          <w:lang w:val="en-US"/>
        </w:rPr>
        <w:t xml:space="preserve">Post-Keynesian theory of public finance. </w:t>
      </w:r>
    </w:p>
    <w:p w:rsidR="00FF2DA0" w:rsidRPr="0068182D" w:rsidRDefault="00FF2DA0" w:rsidP="00C40532">
      <w:pPr>
        <w:spacing w:after="0" w:line="240" w:lineRule="auto"/>
        <w:ind w:firstLine="709"/>
        <w:jc w:val="both"/>
        <w:rPr>
          <w:rFonts w:ascii="Times New Roman" w:hAnsi="Times New Roman" w:cs="Times New Roman"/>
          <w:b/>
          <w:sz w:val="28"/>
          <w:szCs w:val="28"/>
          <w:lang w:val="en-US"/>
        </w:rPr>
      </w:pPr>
    </w:p>
    <w:p w:rsidR="00FF2DA0" w:rsidRPr="0068182D" w:rsidRDefault="00FF2DA0" w:rsidP="00C40532">
      <w:pPr>
        <w:spacing w:after="0" w:line="240" w:lineRule="auto"/>
        <w:ind w:firstLine="709"/>
        <w:jc w:val="both"/>
        <w:rPr>
          <w:rFonts w:ascii="Times New Roman" w:hAnsi="Times New Roman" w:cs="Times New Roman"/>
          <w:b/>
          <w:sz w:val="28"/>
          <w:szCs w:val="28"/>
          <w:lang w:val="en-US"/>
        </w:rPr>
      </w:pPr>
    </w:p>
    <w:p w:rsidR="004379E3" w:rsidRPr="0068182D" w:rsidRDefault="00BE3110"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Theme </w:t>
      </w:r>
      <w:r w:rsidR="004379E3" w:rsidRPr="0068182D">
        <w:rPr>
          <w:rFonts w:ascii="Times New Roman" w:hAnsi="Times New Roman" w:cs="Times New Roman"/>
          <w:b/>
          <w:sz w:val="28"/>
          <w:szCs w:val="28"/>
          <w:lang w:val="en-US"/>
        </w:rPr>
        <w:t>3. Economic integration processes in Kazakhstan</w:t>
      </w: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p>
    <w:p w:rsidR="00FF2DA0" w:rsidRPr="0068182D" w:rsidRDefault="00FF2DA0" w:rsidP="000537F4">
      <w:pPr>
        <w:pStyle w:val="a4"/>
        <w:numPr>
          <w:ilvl w:val="0"/>
          <w:numId w:val="44"/>
        </w:numPr>
        <w:spacing w:after="0" w:line="240" w:lineRule="auto"/>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Eurasian economic integration milestones</w:t>
      </w:r>
    </w:p>
    <w:p w:rsidR="00FF2DA0" w:rsidRPr="0068182D" w:rsidRDefault="00FF2DA0" w:rsidP="000537F4">
      <w:pPr>
        <w:pStyle w:val="a4"/>
        <w:numPr>
          <w:ilvl w:val="0"/>
          <w:numId w:val="44"/>
        </w:numPr>
        <w:spacing w:after="0" w:line="240" w:lineRule="auto"/>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Key stages of Eurasian economic integration</w:t>
      </w:r>
    </w:p>
    <w:p w:rsidR="00FF2DA0" w:rsidRPr="0068182D" w:rsidRDefault="00FF2DA0" w:rsidP="000537F4">
      <w:pPr>
        <w:pStyle w:val="a4"/>
        <w:numPr>
          <w:ilvl w:val="0"/>
          <w:numId w:val="44"/>
        </w:numPr>
        <w:spacing w:after="0" w:line="240" w:lineRule="auto"/>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Areas of Competence of the Eurasian Economic Commission under the Treaty on the EEC</w:t>
      </w:r>
    </w:p>
    <w:p w:rsidR="00FF2DA0" w:rsidRPr="0068182D" w:rsidRDefault="00FF2DA0" w:rsidP="000537F4">
      <w:pPr>
        <w:pStyle w:val="a4"/>
        <w:numPr>
          <w:ilvl w:val="0"/>
          <w:numId w:val="44"/>
        </w:numPr>
        <w:spacing w:after="0" w:line="240" w:lineRule="auto"/>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The advantages and disadvantages of the Customs Union</w:t>
      </w:r>
    </w:p>
    <w:p w:rsidR="00FF2DA0" w:rsidRPr="0068182D" w:rsidRDefault="00FF2DA0" w:rsidP="00C40532">
      <w:pPr>
        <w:spacing w:after="0" w:line="240" w:lineRule="auto"/>
        <w:ind w:firstLine="709"/>
        <w:jc w:val="both"/>
        <w:rPr>
          <w:rFonts w:ascii="Times New Roman" w:hAnsi="Times New Roman" w:cs="Times New Roman"/>
          <w:b/>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Eurasian economic integration milestones: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In 1995 Russia, Belarus and Kazakhstan signed an Agreement on the establishment of the Customs Union (CU);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In 1999 three countries concluded an Agreement on the Customs Union and Single economic space (SES);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In 2000 Russia, Belarus and Kazakhstan established the Eurasian Economic Community (EurAsEC), an international organization that was responsible for efficient promotion of the CU and the SES;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In 2007 the Commission of the Customs Union became the first joint permanent governing body of the CU;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Eurasian economic integration process gained impetus during 2010. In January 2010 Russia, Belarus and Kazakhstan launched the CU within EurAsEC by coordinating tariff and non-tariff regulation;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In July 2010 three countries eliminated customs clearance procedures and all customs restrictions on the goods exchanged between them as well as commenced to pursue a uniform tariff policy toward non-member nations;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In July 2011 the CU of Russia, Belarus and Kazakhstan became fully operational with the customs control having been transferred to the external borders of the CU and the Customs Code of the CU entering into force;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17 treaties establishing SES came into force on the 1st of January 2012;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The Eurasian Economic Commission, a supranational body that is in charge of all integration processes, started functioning as of February, 1, 2012.</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Key stages of Eurasian economic integration</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CIS Free Trade Area: customs duties and economic restrictions are not applicable in mutual trade between CIS countries (except for trade remedies) with specific exemptions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Customs Union: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common customs territory of Russia, Belarus and Kazakhstan with population of approximately 170 million people (which accounts to 2.5% of world population), total GDP of 2,7 trn. US$ (4 % of world GDP) and with free movement of goods both produced in the CU and imported from 3rd countries. Total volume of external trade equals 913 bln. US$.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uniform customs tariff (January, 2010);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unified customs regulation and customs procedures (July 2010);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a unified regime for trade with third countries.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Single Economic Space: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common economic regulation procedures;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common infrastructure;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coordinated tax, monetary and customs policies;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free movement of goods, capital, services and labour force.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Eurasian Economic Union: the Declaration on Eurasian Economic Integration signed in November 2011 defines the goals of our integration. This document may be considered as a sort of ‘roadmap’ with an ultimate objective of establishing the Eurasian Economic Union.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Eurasian Economic Commission</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The Eurasian Economic Commission (the EEC), a single permanent regulatory body of the CU and SES, started its activity as of February, 1, 2012 on the basis of the Treaty on the Eurasian Economic Commission signed by Russia, Belarus and Kazakhstan in November 2011.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The EEC has replaced the Customs Union Commission. In accordance with international agreements it acquires supranational functions.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The EEC shall gradually take over powers from each of the countries. In accordance with the Treaty establishing the EEC (article 3) the Commission operates in the spheres of tariff and non-tariff measures, technical regulation, sanitary and phytosanitary measures, statistics of external and mutual trade, competition policy, industrial and agricultural subsidies, energy sector, government procurement, transportation, monetary policy, intellectual property rights, labour migration, services and investment, financial markets.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The main objective of the EEC is to “ensure conditions for the CU and SES operation and development as well as to elaborate economic integration initiatives within the framework of the CU and SES.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Bodies of the CU and SES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The Supreme Eurasian Economic Council comprises the heads of state or government of the Customs Union member states. It defines the strategy and the objectives of further development of the CU and the CES.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The EEC is a two-level body with the Commission Council uniting deputy prime-ministers and the Board of the Commission, a working body to which member-states delegate their representatives in the capacity of international independent officials. The EEC ensures functioning and development of the CU and SES, elaborates economic integration initiatives. The EEC Departments and consulting bodies assist in interacting with national authorities.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The EurAsEC Court is a dispute settlement body.</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Areas of Competence of the Eurasian Economic Commission under the Treaty on the EEC:</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tariff and non-tariff regulation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customs administration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technical regulation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sanitary, veterinary and phytosanitary measures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enrolment and allocation of import customs duties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establishment of trade regimes with third countries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statistics of external and internal trade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macroeconomic policy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competition policy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industrial and agriculture subsidies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energy policy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natural monopolies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state and municipal procurement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internal trade in services and investment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transport and transportation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currency policy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intellectual property and copyright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migration policy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financial markets (banking, insurance, foreign exchange market, stock market)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other areas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decisions in the EEC are taken unanimously.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EEC is currently dealing with the task of codification of the EurAsEC, CU and SES treaties and agreements with an aim of conclusion of a comprehensive treaty of the Eurasian Economic Union by 2015.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Customs Union and Single Economic Space are open to accession by new participants.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The advantages of the Customs Union:</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1. CU enhances the regional market and promotes exports of three countries, making them one of the most attractive markets in the world. Establishment of the Customs Union allowed forming a new common market of 170 million inhabitants. For Kazakhstani producers market will grow by more than 10 times, which should provide a powerful impetus for the development of new modern facilities.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2. Acceleration of economic growth in member countries and openness of international integration. According to experts, the Customs Union will allow three countries to achieve by 2015, the total GDP of $ 400 billion. Each state party will increase its GDP by 15.</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3. Lack of customs borders between the countries allows entrepreneurs to cut costs and speed up the circulation of goods.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4. Attraction of investments in the economy of countries, as well as the establishment of joint Kazakh-Russian and Kazakh-Belarusian enterprises. So foreign investor, before investing will take into account not only the amount of domestic Kazakh market, but the total population of three countries.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5. One the most important advantages of the Customs Union - doubling of revenues from customs duties in the budget.</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6. Unfortunately, about 95% of exports go to the primary sector, and 80% of foreign investment directed there. Therefore, the main effect, the country's leadership expect from participation in the Customs Union - to diversify the economy.</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8. From joining the Customs Union the agricultural sector may win, as a huge market will be opened to a domestic producer of agricultural products.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9. A number of international instruments will be adopted in the framework of the Customs Union - technical, veterinary and sanitary regulations. Technical regulations of CU members will be united.</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The disadvantages of the Customs Union:</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1. It would be difficult to Kazakhstan to defend its economic and political interests, considering the dominance of Russia.</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2. With the introduction of the Common Customs Tariff Kazakhstan raises its average tariff, which leads to higher prices for goods from the third countries, in particular from China, Turkey, Korea and many other countries, which is a great drawback for consumers.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3. Due to the rise in prices of goods in Kazakhstan inflation is expected of 0.5% -1%.</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4. Competition can be a heavy burden and a challenge for domestic business and it will be hard to sustain for many producers.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FF2DA0" w:rsidRPr="0068182D" w:rsidRDefault="00FF2DA0"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Control questions</w:t>
      </w:r>
    </w:p>
    <w:p w:rsidR="00FF2DA0" w:rsidRPr="0068182D" w:rsidRDefault="00FF2DA0" w:rsidP="000537F4">
      <w:pPr>
        <w:pStyle w:val="a4"/>
        <w:numPr>
          <w:ilvl w:val="0"/>
          <w:numId w:val="45"/>
        </w:numPr>
        <w:spacing w:after="0" w:line="240" w:lineRule="auto"/>
        <w:ind w:left="993" w:hanging="284"/>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Eurasian economic integration milestones</w:t>
      </w:r>
    </w:p>
    <w:p w:rsidR="00FF2DA0" w:rsidRPr="0068182D" w:rsidRDefault="00FF2DA0" w:rsidP="000537F4">
      <w:pPr>
        <w:pStyle w:val="a4"/>
        <w:numPr>
          <w:ilvl w:val="0"/>
          <w:numId w:val="45"/>
        </w:numPr>
        <w:spacing w:after="0" w:line="240" w:lineRule="auto"/>
        <w:ind w:left="993" w:hanging="284"/>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Key stages of Eurasian economic integration</w:t>
      </w:r>
    </w:p>
    <w:p w:rsidR="00FF2DA0" w:rsidRPr="0068182D" w:rsidRDefault="00FF2DA0" w:rsidP="000537F4">
      <w:pPr>
        <w:pStyle w:val="a4"/>
        <w:numPr>
          <w:ilvl w:val="0"/>
          <w:numId w:val="45"/>
        </w:numPr>
        <w:spacing w:after="0" w:line="240" w:lineRule="auto"/>
        <w:ind w:left="993" w:hanging="284"/>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Areas of Competence of the Eurasian Economic Commission under the Treaty on the EEC</w:t>
      </w:r>
    </w:p>
    <w:p w:rsidR="00FF2DA0" w:rsidRPr="0068182D" w:rsidRDefault="00FF2DA0" w:rsidP="000537F4">
      <w:pPr>
        <w:pStyle w:val="a4"/>
        <w:numPr>
          <w:ilvl w:val="0"/>
          <w:numId w:val="45"/>
        </w:numPr>
        <w:spacing w:after="0" w:line="240" w:lineRule="auto"/>
        <w:ind w:left="993" w:hanging="284"/>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advantages and disadvantages of the Customs Union</w:t>
      </w:r>
    </w:p>
    <w:p w:rsidR="00FF2DA0" w:rsidRPr="0068182D" w:rsidRDefault="00FF2DA0" w:rsidP="00C40532">
      <w:pPr>
        <w:spacing w:after="0" w:line="240" w:lineRule="auto"/>
        <w:ind w:firstLine="709"/>
        <w:jc w:val="both"/>
        <w:rPr>
          <w:rFonts w:ascii="Times New Roman" w:hAnsi="Times New Roman" w:cs="Times New Roman"/>
          <w:sz w:val="28"/>
          <w:szCs w:val="28"/>
          <w:lang w:val="en-US"/>
        </w:rPr>
      </w:pPr>
    </w:p>
    <w:p w:rsidR="00BE3110" w:rsidRPr="0068182D" w:rsidRDefault="00BE3110"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BE3110">
      <w:pPr>
        <w:spacing w:after="0" w:line="240" w:lineRule="auto"/>
        <w:ind w:firstLine="426"/>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Theme 4. </w:t>
      </w:r>
      <w:r w:rsidRPr="0068182D">
        <w:rPr>
          <w:rFonts w:ascii="Times New Roman" w:hAnsi="Times New Roman" w:cs="Times New Roman"/>
          <w:b/>
          <w:bCs/>
          <w:color w:val="000000"/>
          <w:sz w:val="28"/>
          <w:szCs w:val="28"/>
          <w:lang w:val="en-US"/>
        </w:rPr>
        <w:t>Organization of public finance in the US</w:t>
      </w:r>
      <w:r w:rsidRPr="0068182D">
        <w:rPr>
          <w:rFonts w:ascii="Times New Roman" w:hAnsi="Times New Roman" w:cs="Times New Roman"/>
          <w:b/>
          <w:sz w:val="28"/>
          <w:szCs w:val="28"/>
          <w:lang w:val="en-US"/>
        </w:rPr>
        <w:t xml:space="preserve"> </w:t>
      </w: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p>
    <w:p w:rsidR="004379E3" w:rsidRPr="0068182D" w:rsidRDefault="004379E3" w:rsidP="000537F4">
      <w:pPr>
        <w:pStyle w:val="a4"/>
        <w:numPr>
          <w:ilvl w:val="0"/>
          <w:numId w:val="13"/>
        </w:numPr>
        <w:spacing w:after="0" w:line="240" w:lineRule="auto"/>
        <w:ind w:left="0" w:firstLine="426"/>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role of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US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as a</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high-tech</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economy of the developed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countries in the world</w:t>
      </w:r>
    </w:p>
    <w:p w:rsidR="004379E3" w:rsidRPr="0068182D" w:rsidRDefault="004379E3" w:rsidP="000537F4">
      <w:pPr>
        <w:pStyle w:val="a4"/>
        <w:numPr>
          <w:ilvl w:val="0"/>
          <w:numId w:val="13"/>
        </w:numPr>
        <w:spacing w:after="0" w:line="240" w:lineRule="auto"/>
        <w:ind w:left="0" w:firstLine="426"/>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US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its structure</w:t>
      </w:r>
    </w:p>
    <w:p w:rsidR="004379E3" w:rsidRPr="0068182D" w:rsidRDefault="004379E3" w:rsidP="000537F4">
      <w:pPr>
        <w:pStyle w:val="a4"/>
        <w:numPr>
          <w:ilvl w:val="0"/>
          <w:numId w:val="13"/>
        </w:numPr>
        <w:spacing w:after="0" w:line="240" w:lineRule="auto"/>
        <w:ind w:left="0" w:firstLine="426"/>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Basic</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principles of the US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budget process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structure</w:t>
      </w:r>
    </w:p>
    <w:p w:rsidR="004379E3" w:rsidRPr="0068182D" w:rsidRDefault="004379E3" w:rsidP="000537F4">
      <w:pPr>
        <w:pStyle w:val="a4"/>
        <w:numPr>
          <w:ilvl w:val="0"/>
          <w:numId w:val="13"/>
        </w:numPr>
        <w:spacing w:after="0" w:line="240" w:lineRule="auto"/>
        <w:ind w:left="0" w:firstLine="426"/>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federal budget</w:t>
      </w:r>
      <w:r w:rsidRPr="0068182D">
        <w:rPr>
          <w:rFonts w:ascii="Times New Roman" w:hAnsi="Times New Roman" w:cs="Times New Roman"/>
          <w:b/>
          <w:sz w:val="28"/>
          <w:szCs w:val="28"/>
          <w:lang w:val="en-US"/>
        </w:rPr>
        <w:t>.</w:t>
      </w:r>
    </w:p>
    <w:p w:rsidR="004379E3" w:rsidRPr="0068182D" w:rsidRDefault="004379E3" w:rsidP="000537F4">
      <w:pPr>
        <w:pStyle w:val="a4"/>
        <w:numPr>
          <w:ilvl w:val="0"/>
          <w:numId w:val="13"/>
        </w:numPr>
        <w:spacing w:after="0" w:line="240" w:lineRule="auto"/>
        <w:ind w:left="0" w:firstLine="426"/>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Revenues and expenditures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local budgets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state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budget</w:t>
      </w:r>
    </w:p>
    <w:p w:rsidR="004379E3" w:rsidRPr="0068182D" w:rsidRDefault="004379E3" w:rsidP="000537F4">
      <w:pPr>
        <w:pStyle w:val="a4"/>
        <w:numPr>
          <w:ilvl w:val="0"/>
          <w:numId w:val="13"/>
        </w:numPr>
        <w:spacing w:after="0" w:line="240" w:lineRule="auto"/>
        <w:ind w:left="0" w:firstLine="426"/>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Characteristics of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US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tax system</w:t>
      </w:r>
    </w:p>
    <w:p w:rsidR="004379E3" w:rsidRPr="0068182D" w:rsidRDefault="004379E3" w:rsidP="00C40532">
      <w:pPr>
        <w:spacing w:after="0" w:line="240" w:lineRule="auto"/>
        <w:jc w:val="both"/>
        <w:rPr>
          <w:rStyle w:val="hps"/>
          <w:rFonts w:ascii="Times New Roman" w:hAnsi="Times New Roman" w:cs="Times New Roman"/>
          <w:sz w:val="28"/>
          <w:szCs w:val="28"/>
          <w:lang w:val="en-US"/>
        </w:rPr>
      </w:pPr>
    </w:p>
    <w:p w:rsidR="004379E3" w:rsidRPr="0068182D" w:rsidRDefault="004379E3" w:rsidP="00C40532">
      <w:pPr>
        <w:autoSpaceDE w:val="0"/>
        <w:autoSpaceDN w:val="0"/>
        <w:adjustRightInd w:val="0"/>
        <w:spacing w:after="0" w:line="240" w:lineRule="auto"/>
        <w:ind w:firstLine="349"/>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1.</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role of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US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as a</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high-tech</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economy of the developed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countries in the world</w:t>
      </w:r>
    </w:p>
    <w:p w:rsidR="004379E3" w:rsidRPr="0068182D" w:rsidRDefault="004379E3" w:rsidP="00C40532">
      <w:pPr>
        <w:autoSpaceDE w:val="0"/>
        <w:autoSpaceDN w:val="0"/>
        <w:adjustRightInd w:val="0"/>
        <w:spacing w:after="0" w:line="240" w:lineRule="auto"/>
        <w:ind w:firstLine="349"/>
        <w:jc w:val="both"/>
        <w:rPr>
          <w:rFonts w:ascii="Times New Roman" w:hAnsi="Times New Roman" w:cs="Times New Roman"/>
          <w:color w:val="333333"/>
          <w:sz w:val="28"/>
          <w:szCs w:val="28"/>
          <w:lang w:val="en-US"/>
        </w:rPr>
      </w:pPr>
      <w:r w:rsidRPr="0068182D">
        <w:rPr>
          <w:rFonts w:ascii="Times New Roman" w:hAnsi="Times New Roman" w:cs="Times New Roman"/>
          <w:color w:val="333333"/>
          <w:sz w:val="28"/>
          <w:szCs w:val="28"/>
          <w:lang w:val="en-US"/>
        </w:rPr>
        <w:t>Despite facing challenges at the domestic level along with a rapidly transforming global landscape, the U.S. economy is still the largest and most important in the world. The U.S. economy represents about 20% of total global output, and is still larger than that of China. Moreover, according to the IMF, the U.S. has the sixth highest per capita GDP (PPP). The U.S. economy features a highly-developed and technologically-advanced services sector, which accounts for about 80% of its output. The U.S. economy is dominated by services-oriented companies in areas such as technology, financial services, healthcare and retail. Large U.S. corporations also play a major role on the global stage, with more than a fifth of companies on the Fortune Global 500 coming from the United States.</w:t>
      </w:r>
      <w:r w:rsidRPr="0068182D">
        <w:rPr>
          <w:rStyle w:val="apple-converted-space"/>
          <w:rFonts w:ascii="Times New Roman" w:hAnsi="Times New Roman" w:cs="Times New Roman"/>
          <w:color w:val="333333"/>
          <w:sz w:val="28"/>
          <w:szCs w:val="28"/>
          <w:lang w:val="en-US"/>
        </w:rPr>
        <w:t> </w:t>
      </w:r>
    </w:p>
    <w:p w:rsidR="004379E3" w:rsidRPr="0068182D" w:rsidRDefault="004379E3" w:rsidP="00C40532">
      <w:pPr>
        <w:autoSpaceDE w:val="0"/>
        <w:autoSpaceDN w:val="0"/>
        <w:adjustRightInd w:val="0"/>
        <w:spacing w:after="0" w:line="240" w:lineRule="auto"/>
        <w:ind w:firstLine="349"/>
        <w:jc w:val="both"/>
        <w:rPr>
          <w:rFonts w:ascii="Times New Roman" w:hAnsi="Times New Roman" w:cs="Times New Roman"/>
          <w:color w:val="333333"/>
          <w:sz w:val="28"/>
          <w:szCs w:val="28"/>
          <w:lang w:val="en-US"/>
        </w:rPr>
      </w:pPr>
      <w:r w:rsidRPr="0068182D">
        <w:rPr>
          <w:rFonts w:ascii="Times New Roman" w:hAnsi="Times New Roman" w:cs="Times New Roman"/>
          <w:color w:val="333333"/>
          <w:sz w:val="28"/>
          <w:szCs w:val="28"/>
          <w:lang w:val="en-US"/>
        </w:rPr>
        <w:t>Even though the services sector is the main engine of the economy, the U.S. also has an important manufacturing base, which represents roughly 15% of output. The U.S. is the second largest manufacturer in the world and a leader in higher-value industries such as automobiles, aerospace, machinery, telecommunications and chemicals. Meanwhile, agriculture represents less than 2% of output. However, large amounts of arable land, advanced farming technology and generous government subsidies make the U.S. a net exporter of food and the largest agricultural exporting country in the world.</w:t>
      </w:r>
      <w:r w:rsidRPr="0068182D">
        <w:rPr>
          <w:rStyle w:val="apple-converted-space"/>
          <w:rFonts w:ascii="Times New Roman" w:hAnsi="Times New Roman" w:cs="Times New Roman"/>
          <w:color w:val="333333"/>
          <w:sz w:val="28"/>
          <w:szCs w:val="28"/>
          <w:lang w:val="en-US"/>
        </w:rPr>
        <w:t> </w:t>
      </w:r>
    </w:p>
    <w:p w:rsidR="004379E3" w:rsidRPr="0068182D" w:rsidRDefault="004379E3" w:rsidP="00C40532">
      <w:pPr>
        <w:autoSpaceDE w:val="0"/>
        <w:autoSpaceDN w:val="0"/>
        <w:adjustRightInd w:val="0"/>
        <w:spacing w:after="0" w:line="240" w:lineRule="auto"/>
        <w:ind w:firstLine="349"/>
        <w:jc w:val="both"/>
        <w:rPr>
          <w:rFonts w:ascii="Times New Roman" w:hAnsi="Times New Roman" w:cs="Times New Roman"/>
          <w:color w:val="333333"/>
          <w:sz w:val="28"/>
          <w:szCs w:val="28"/>
          <w:lang w:val="en-US"/>
        </w:rPr>
      </w:pPr>
      <w:r w:rsidRPr="0068182D">
        <w:rPr>
          <w:rFonts w:ascii="Times New Roman" w:hAnsi="Times New Roman" w:cs="Times New Roman"/>
          <w:color w:val="333333"/>
          <w:sz w:val="28"/>
          <w:szCs w:val="28"/>
          <w:lang w:val="en-US"/>
        </w:rPr>
        <w:t>The U.S. economy maintains its powerhouse status through a combination of characteristics. The country has access to abundant natural resources and a sophisticated physical infrastructure. It also has a large, well-educated and productive workforce. Moreover, the physical and human capital is fully leveraged in a free-market and business-oriented environment. The government and the people of the United States both contribute to this unique economic environment. The government provides political stability, a functional legal system, and a regulatory structure that allow the economy to flourish. The general population, including a diversity of immigrants, brings a solid work ethic, as well as a sense of entrepreneurship and risk taking to the mix. Economic growth in the United States is constantly being driven forward by ongoing innovation, research and development as well as capital investment.</w:t>
      </w:r>
      <w:r w:rsidRPr="0068182D">
        <w:rPr>
          <w:rStyle w:val="apple-converted-space"/>
          <w:rFonts w:ascii="Times New Roman" w:hAnsi="Times New Roman" w:cs="Times New Roman"/>
          <w:color w:val="333333"/>
          <w:sz w:val="28"/>
          <w:szCs w:val="28"/>
          <w:lang w:val="en-US"/>
        </w:rPr>
        <w:t> </w:t>
      </w:r>
    </w:p>
    <w:p w:rsidR="004379E3" w:rsidRPr="0068182D" w:rsidRDefault="004379E3" w:rsidP="00C40532">
      <w:pPr>
        <w:autoSpaceDE w:val="0"/>
        <w:autoSpaceDN w:val="0"/>
        <w:adjustRightInd w:val="0"/>
        <w:spacing w:after="0" w:line="240" w:lineRule="auto"/>
        <w:ind w:firstLine="349"/>
        <w:jc w:val="both"/>
        <w:rPr>
          <w:rFonts w:ascii="Times New Roman" w:hAnsi="Times New Roman" w:cs="Times New Roman"/>
          <w:color w:val="333333"/>
          <w:sz w:val="28"/>
          <w:szCs w:val="28"/>
          <w:lang w:val="en-US"/>
        </w:rPr>
      </w:pPr>
      <w:r w:rsidRPr="0068182D">
        <w:rPr>
          <w:rFonts w:ascii="Times New Roman" w:hAnsi="Times New Roman" w:cs="Times New Roman"/>
          <w:color w:val="333333"/>
          <w:sz w:val="28"/>
          <w:szCs w:val="28"/>
          <w:lang w:val="en-US"/>
        </w:rPr>
        <w:t>The U.S. economy is currently emerging from a period of considerable turmoil. A mix of factors, including low interest rates, widespread mortgage lending, excessive risk taking in the financial sector, high consumer indebtedness and lax government regulation, led to a major recession that began in 2008. The housing market and several major banks collapsed and the U.S. economy proceeded to contract until the third quarter of 2009 in what was the deepest and longest downturn since the Great Depression. The U.S. government intervened by using USD 700 billion to purchase troubled mortgage-related assets and propping up large floundering corporations in order to stabilize the financial system. It also introduced a stimulus package worth USD 831 billion to be spent across the following 10 years to boost the economy.</w:t>
      </w:r>
      <w:r w:rsidRPr="0068182D">
        <w:rPr>
          <w:rStyle w:val="apple-converted-space"/>
          <w:rFonts w:ascii="Times New Roman" w:hAnsi="Times New Roman" w:cs="Times New Roman"/>
          <w:color w:val="333333"/>
          <w:sz w:val="28"/>
          <w:szCs w:val="28"/>
          <w:lang w:val="en-US"/>
        </w:rPr>
        <w:t> </w:t>
      </w:r>
    </w:p>
    <w:p w:rsidR="004379E3" w:rsidRPr="0068182D" w:rsidRDefault="004379E3" w:rsidP="00C40532">
      <w:pPr>
        <w:autoSpaceDE w:val="0"/>
        <w:autoSpaceDN w:val="0"/>
        <w:adjustRightInd w:val="0"/>
        <w:spacing w:after="0" w:line="240" w:lineRule="auto"/>
        <w:ind w:firstLine="349"/>
        <w:jc w:val="both"/>
        <w:rPr>
          <w:rFonts w:ascii="Times New Roman" w:hAnsi="Times New Roman" w:cs="Times New Roman"/>
          <w:color w:val="333333"/>
          <w:sz w:val="28"/>
          <w:szCs w:val="28"/>
          <w:lang w:val="en-US"/>
        </w:rPr>
      </w:pPr>
      <w:r w:rsidRPr="0068182D">
        <w:rPr>
          <w:rFonts w:ascii="Times New Roman" w:hAnsi="Times New Roman" w:cs="Times New Roman"/>
          <w:color w:val="333333"/>
          <w:sz w:val="28"/>
          <w:szCs w:val="28"/>
          <w:lang w:val="en-US"/>
        </w:rPr>
        <w:t>The economy has been recovering slowly yet unevenly since the depths of the recession in 2009. The economy has received further support through expansionary monetary policies. This includes not only holding interest rates at the lower bound, but also the unconventional practice of the government buying large amounts of financial assets to increase the money supply and hold down long term interest rates—a practice known as “quantitative easing”.</w:t>
      </w:r>
      <w:r w:rsidRPr="0068182D">
        <w:rPr>
          <w:rStyle w:val="apple-converted-space"/>
          <w:rFonts w:ascii="Times New Roman" w:hAnsi="Times New Roman" w:cs="Times New Roman"/>
          <w:color w:val="333333"/>
          <w:sz w:val="28"/>
          <w:szCs w:val="28"/>
          <w:lang w:val="en-US"/>
        </w:rPr>
        <w:t> </w:t>
      </w:r>
    </w:p>
    <w:p w:rsidR="004379E3" w:rsidRPr="0068182D" w:rsidRDefault="004379E3" w:rsidP="00C40532">
      <w:pPr>
        <w:autoSpaceDE w:val="0"/>
        <w:autoSpaceDN w:val="0"/>
        <w:adjustRightInd w:val="0"/>
        <w:spacing w:after="0" w:line="240" w:lineRule="auto"/>
        <w:ind w:firstLine="349"/>
        <w:jc w:val="both"/>
        <w:rPr>
          <w:rStyle w:val="apple-converted-space"/>
          <w:rFonts w:ascii="Times New Roman" w:hAnsi="Times New Roman" w:cs="Times New Roman"/>
          <w:color w:val="333333"/>
          <w:sz w:val="28"/>
          <w:szCs w:val="28"/>
          <w:lang w:val="en-US"/>
        </w:rPr>
      </w:pPr>
      <w:r w:rsidRPr="0068182D">
        <w:rPr>
          <w:rFonts w:ascii="Times New Roman" w:hAnsi="Times New Roman" w:cs="Times New Roman"/>
          <w:color w:val="333333"/>
          <w:sz w:val="28"/>
          <w:szCs w:val="28"/>
          <w:lang w:val="en-US"/>
        </w:rPr>
        <w:t>While the labor market has recovered significantly and employment has returned to pre-crisis levels, there is still widespread debate regarding the health of the U.S. economy. In addition, even though the worst effects of the recession are now fading, the economy still faces a variety of significant challenges going forward. Deteriorating infrastructure, wage stagnation, rising income inequality, elevated pension and medical costs, as well as large current account and government budget deficits, are all issues facing the US economy.</w:t>
      </w:r>
      <w:r w:rsidRPr="0068182D">
        <w:rPr>
          <w:rStyle w:val="apple-converted-space"/>
          <w:rFonts w:ascii="Times New Roman" w:hAnsi="Times New Roman" w:cs="Times New Roman"/>
          <w:color w:val="333333"/>
          <w:sz w:val="28"/>
          <w:szCs w:val="28"/>
          <w:lang w:val="en-US"/>
        </w:rPr>
        <w:t> </w:t>
      </w:r>
    </w:p>
    <w:p w:rsidR="004379E3" w:rsidRPr="0068182D" w:rsidRDefault="004379E3" w:rsidP="00C40532">
      <w:pPr>
        <w:pBdr>
          <w:bottom w:val="single" w:sz="6" w:space="9" w:color="959595"/>
        </w:pBdr>
        <w:spacing w:after="0" w:line="240" w:lineRule="auto"/>
        <w:jc w:val="both"/>
        <w:outlineLvl w:val="1"/>
        <w:rPr>
          <w:rFonts w:ascii="Times New Roman" w:eastAsia="Times New Roman" w:hAnsi="Times New Roman" w:cs="Times New Roman"/>
          <w:color w:val="04214B"/>
          <w:sz w:val="28"/>
          <w:szCs w:val="28"/>
          <w:lang w:val="en-US"/>
        </w:rPr>
      </w:pPr>
    </w:p>
    <w:p w:rsidR="004379E3" w:rsidRPr="0068182D" w:rsidRDefault="004379E3" w:rsidP="00C40532">
      <w:pPr>
        <w:pBdr>
          <w:bottom w:val="single" w:sz="6" w:space="9" w:color="959595"/>
        </w:pBdr>
        <w:spacing w:after="0" w:line="240" w:lineRule="auto"/>
        <w:ind w:firstLine="349"/>
        <w:jc w:val="both"/>
        <w:outlineLvl w:val="1"/>
        <w:rPr>
          <w:rFonts w:ascii="Times New Roman" w:eastAsia="Times New Roman" w:hAnsi="Times New Roman" w:cs="Times New Roman"/>
          <w:b/>
          <w:color w:val="04214B"/>
          <w:sz w:val="28"/>
          <w:szCs w:val="28"/>
        </w:rPr>
      </w:pPr>
      <w:r w:rsidRPr="0068182D">
        <w:rPr>
          <w:rFonts w:ascii="Times New Roman" w:eastAsia="Times New Roman" w:hAnsi="Times New Roman" w:cs="Times New Roman"/>
          <w:b/>
          <w:color w:val="04214B"/>
          <w:sz w:val="28"/>
          <w:szCs w:val="28"/>
        </w:rPr>
        <w:t>United States Economy Data</w:t>
      </w:r>
    </w:p>
    <w:tbl>
      <w:tblPr>
        <w:tblW w:w="9679" w:type="dxa"/>
        <w:tblCellMar>
          <w:top w:w="15" w:type="dxa"/>
          <w:left w:w="15" w:type="dxa"/>
          <w:bottom w:w="15" w:type="dxa"/>
          <w:right w:w="15" w:type="dxa"/>
        </w:tblCellMar>
        <w:tblLook w:val="04A0"/>
      </w:tblPr>
      <w:tblGrid>
        <w:gridCol w:w="4539"/>
        <w:gridCol w:w="1028"/>
        <w:gridCol w:w="1028"/>
        <w:gridCol w:w="1028"/>
        <w:gridCol w:w="1028"/>
        <w:gridCol w:w="1028"/>
      </w:tblGrid>
      <w:tr w:rsidR="004379E3" w:rsidRPr="0068182D" w:rsidTr="00BE3110">
        <w:trPr>
          <w:tblHeader/>
        </w:trPr>
        <w:tc>
          <w:tcPr>
            <w:tcW w:w="4539" w:type="dxa"/>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b/>
                <w:bCs/>
                <w:sz w:val="28"/>
                <w:szCs w:val="28"/>
              </w:rPr>
            </w:pPr>
          </w:p>
        </w:tc>
        <w:tc>
          <w:tcPr>
            <w:tcW w:w="0" w:type="auto"/>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b/>
                <w:bCs/>
                <w:sz w:val="28"/>
                <w:szCs w:val="28"/>
              </w:rPr>
            </w:pPr>
            <w:r w:rsidRPr="0068182D">
              <w:rPr>
                <w:rFonts w:ascii="Times New Roman" w:eastAsia="Times New Roman" w:hAnsi="Times New Roman" w:cs="Times New Roman"/>
                <w:b/>
                <w:bCs/>
                <w:sz w:val="28"/>
                <w:szCs w:val="28"/>
              </w:rPr>
              <w:t>2011</w:t>
            </w:r>
          </w:p>
        </w:tc>
        <w:tc>
          <w:tcPr>
            <w:tcW w:w="0" w:type="auto"/>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b/>
                <w:bCs/>
                <w:sz w:val="28"/>
                <w:szCs w:val="28"/>
              </w:rPr>
            </w:pPr>
            <w:r w:rsidRPr="0068182D">
              <w:rPr>
                <w:rFonts w:ascii="Times New Roman" w:eastAsia="Times New Roman" w:hAnsi="Times New Roman" w:cs="Times New Roman"/>
                <w:b/>
                <w:bCs/>
                <w:sz w:val="28"/>
                <w:szCs w:val="28"/>
              </w:rPr>
              <w:t>2012</w:t>
            </w:r>
          </w:p>
        </w:tc>
        <w:tc>
          <w:tcPr>
            <w:tcW w:w="0" w:type="auto"/>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b/>
                <w:bCs/>
                <w:sz w:val="28"/>
                <w:szCs w:val="28"/>
              </w:rPr>
            </w:pPr>
            <w:r w:rsidRPr="0068182D">
              <w:rPr>
                <w:rFonts w:ascii="Times New Roman" w:eastAsia="Times New Roman" w:hAnsi="Times New Roman" w:cs="Times New Roman"/>
                <w:b/>
                <w:bCs/>
                <w:sz w:val="28"/>
                <w:szCs w:val="28"/>
              </w:rPr>
              <w:t>2013</w:t>
            </w:r>
          </w:p>
        </w:tc>
        <w:tc>
          <w:tcPr>
            <w:tcW w:w="0" w:type="auto"/>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b/>
                <w:bCs/>
                <w:sz w:val="28"/>
                <w:szCs w:val="28"/>
              </w:rPr>
            </w:pPr>
            <w:r w:rsidRPr="0068182D">
              <w:rPr>
                <w:rFonts w:ascii="Times New Roman" w:eastAsia="Times New Roman" w:hAnsi="Times New Roman" w:cs="Times New Roman"/>
                <w:b/>
                <w:bCs/>
                <w:sz w:val="28"/>
                <w:szCs w:val="28"/>
              </w:rPr>
              <w:t>2014</w:t>
            </w:r>
          </w:p>
        </w:tc>
        <w:tc>
          <w:tcPr>
            <w:tcW w:w="0" w:type="auto"/>
            <w:tcBorders>
              <w:top w:val="single" w:sz="2" w:space="0" w:color="959595"/>
              <w:left w:val="single" w:sz="2" w:space="0" w:color="959595"/>
              <w:bottom w:val="single" w:sz="6" w:space="0" w:color="959595"/>
              <w:right w:val="single" w:sz="2" w:space="0" w:color="959595"/>
            </w:tcBorders>
            <w:shd w:val="clear" w:color="auto" w:fill="A8C4D9"/>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b/>
                <w:bCs/>
                <w:sz w:val="28"/>
                <w:szCs w:val="28"/>
              </w:rPr>
            </w:pPr>
            <w:r w:rsidRPr="0068182D">
              <w:rPr>
                <w:rFonts w:ascii="Times New Roman" w:eastAsia="Times New Roman" w:hAnsi="Times New Roman" w:cs="Times New Roman"/>
                <w:b/>
                <w:bCs/>
                <w:sz w:val="28"/>
                <w:szCs w:val="28"/>
              </w:rPr>
              <w:t>2015</w:t>
            </w:r>
          </w:p>
        </w:tc>
      </w:tr>
      <w:tr w:rsidR="004379E3" w:rsidRPr="0068182D" w:rsidTr="00BE3110">
        <w:trPr>
          <w:trHeight w:val="361"/>
        </w:trPr>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9" w:history="1">
              <w:r w:rsidR="004379E3" w:rsidRPr="0068182D">
                <w:rPr>
                  <w:rFonts w:ascii="Times New Roman" w:eastAsia="Times New Roman" w:hAnsi="Times New Roman" w:cs="Times New Roman"/>
                  <w:sz w:val="28"/>
                  <w:szCs w:val="28"/>
                  <w:u w:val="single"/>
                </w:rPr>
                <w:t>Population (million)</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312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314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317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319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321</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10" w:history="1">
              <w:r w:rsidR="004379E3" w:rsidRPr="0068182D">
                <w:rPr>
                  <w:rFonts w:ascii="Times New Roman" w:eastAsia="Times New Roman" w:hAnsi="Times New Roman" w:cs="Times New Roman"/>
                  <w:sz w:val="28"/>
                  <w:szCs w:val="28"/>
                  <w:u w:val="single"/>
                </w:rPr>
                <w:t>GDP per capita (USD)</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49,725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51,384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52,608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54,375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55,868</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11" w:history="1">
              <w:r w:rsidR="004379E3" w:rsidRPr="0068182D">
                <w:rPr>
                  <w:rFonts w:ascii="Times New Roman" w:eastAsia="Times New Roman" w:hAnsi="Times New Roman" w:cs="Times New Roman"/>
                  <w:sz w:val="28"/>
                  <w:szCs w:val="28"/>
                  <w:u w:val="single"/>
                </w:rPr>
                <w:t>GDP (USD bn)</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15,518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16,155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16,663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17,348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17,947</w:t>
            </w:r>
          </w:p>
        </w:tc>
      </w:tr>
      <w:tr w:rsidR="004379E3" w:rsidRPr="0068182D" w:rsidTr="00BE3110">
        <w:trPr>
          <w:trHeight w:val="577"/>
        </w:trPr>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lang w:val="en-US"/>
              </w:rPr>
            </w:pPr>
            <w:hyperlink r:id="rId12" w:history="1">
              <w:r w:rsidR="004379E3" w:rsidRPr="0068182D">
                <w:rPr>
                  <w:rFonts w:ascii="Times New Roman" w:eastAsia="Times New Roman" w:hAnsi="Times New Roman" w:cs="Times New Roman"/>
                  <w:sz w:val="28"/>
                  <w:szCs w:val="28"/>
                  <w:u w:val="single"/>
                  <w:lang w:val="en-US"/>
                </w:rPr>
                <w:t>Economic Growth (GDP,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2.4</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lang w:val="en-US"/>
              </w:rPr>
            </w:pPr>
            <w:hyperlink r:id="rId13" w:history="1">
              <w:r w:rsidR="004379E3" w:rsidRPr="0068182D">
                <w:rPr>
                  <w:rFonts w:ascii="Times New Roman" w:eastAsia="Times New Roman" w:hAnsi="Times New Roman" w:cs="Times New Roman"/>
                  <w:sz w:val="28"/>
                  <w:szCs w:val="28"/>
                  <w:u w:val="single"/>
                  <w:lang w:val="en-US"/>
                </w:rPr>
                <w:t>Domestic Demand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3.0</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14" w:history="1">
              <w:r w:rsidR="004379E3" w:rsidRPr="0068182D">
                <w:rPr>
                  <w:rFonts w:ascii="Times New Roman" w:eastAsia="Times New Roman" w:hAnsi="Times New Roman" w:cs="Times New Roman"/>
                  <w:sz w:val="28"/>
                  <w:szCs w:val="28"/>
                  <w:u w:val="single"/>
                </w:rPr>
                <w:t>Consumption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3.1</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15" w:history="1">
              <w:r w:rsidR="004379E3" w:rsidRPr="0068182D">
                <w:rPr>
                  <w:rFonts w:ascii="Times New Roman" w:eastAsia="Times New Roman" w:hAnsi="Times New Roman" w:cs="Times New Roman"/>
                  <w:sz w:val="28"/>
                  <w:szCs w:val="28"/>
                  <w:u w:val="single"/>
                </w:rPr>
                <w:t>Investment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6.4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9.8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4.2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5.3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4.0</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lang w:val="en-US"/>
              </w:rPr>
            </w:pPr>
            <w:hyperlink r:id="rId16" w:history="1">
              <w:r w:rsidR="004379E3" w:rsidRPr="0068182D">
                <w:rPr>
                  <w:rFonts w:ascii="Times New Roman" w:eastAsia="Times New Roman" w:hAnsi="Times New Roman" w:cs="Times New Roman"/>
                  <w:sz w:val="28"/>
                  <w:szCs w:val="28"/>
                  <w:u w:val="single"/>
                  <w:lang w:val="en-US"/>
                </w:rPr>
                <w:t>Exports (G&amp;S,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6.9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1.1</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lang w:val="en-US"/>
              </w:rPr>
            </w:pPr>
            <w:hyperlink r:id="rId17" w:history="1">
              <w:r w:rsidR="004379E3" w:rsidRPr="0068182D">
                <w:rPr>
                  <w:rFonts w:ascii="Times New Roman" w:eastAsia="Times New Roman" w:hAnsi="Times New Roman" w:cs="Times New Roman"/>
                  <w:sz w:val="28"/>
                  <w:szCs w:val="28"/>
                  <w:u w:val="single"/>
                  <w:lang w:val="en-US"/>
                </w:rPr>
                <w:t>Imports (G&amp;S,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5.5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4.9</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lang w:val="en-US"/>
              </w:rPr>
            </w:pPr>
            <w:hyperlink r:id="rId18" w:history="1">
              <w:r w:rsidR="004379E3" w:rsidRPr="0068182D">
                <w:rPr>
                  <w:rFonts w:ascii="Times New Roman" w:eastAsia="Times New Roman" w:hAnsi="Times New Roman" w:cs="Times New Roman"/>
                  <w:sz w:val="28"/>
                  <w:szCs w:val="28"/>
                  <w:u w:val="single"/>
                  <w:lang w:val="en-US"/>
                </w:rPr>
                <w:t>Industrial Production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0.3</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lang w:val="en-US"/>
              </w:rPr>
            </w:pPr>
            <w:hyperlink r:id="rId19" w:history="1">
              <w:r w:rsidR="004379E3" w:rsidRPr="0068182D">
                <w:rPr>
                  <w:rFonts w:ascii="Times New Roman" w:eastAsia="Times New Roman" w:hAnsi="Times New Roman" w:cs="Times New Roman"/>
                  <w:sz w:val="28"/>
                  <w:szCs w:val="28"/>
                  <w:u w:val="single"/>
                  <w:lang w:val="en-US"/>
                </w:rPr>
                <w:t>Retail Sales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7.3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5.0</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2.2</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20" w:history="1">
              <w:r w:rsidR="004379E3" w:rsidRPr="0068182D">
                <w:rPr>
                  <w:rFonts w:ascii="Times New Roman" w:eastAsia="Times New Roman" w:hAnsi="Times New Roman" w:cs="Times New Roman"/>
                  <w:sz w:val="28"/>
                  <w:szCs w:val="28"/>
                  <w:u w:val="single"/>
                </w:rPr>
                <w:t>Unemployment Rate</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8.9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8.1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7.4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6.2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5.3</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21" w:history="1">
              <w:r w:rsidR="004379E3" w:rsidRPr="0068182D">
                <w:rPr>
                  <w:rFonts w:ascii="Times New Roman" w:eastAsia="Times New Roman" w:hAnsi="Times New Roman" w:cs="Times New Roman"/>
                  <w:sz w:val="28"/>
                  <w:szCs w:val="28"/>
                  <w:u w:val="single"/>
                </w:rPr>
                <w:t>Fiscal Balance (% of GDP)</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-8.4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-6.7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-4.1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-2.4</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22" w:history="1">
              <w:r w:rsidR="004379E3" w:rsidRPr="0068182D">
                <w:rPr>
                  <w:rFonts w:ascii="Times New Roman" w:eastAsia="Times New Roman" w:hAnsi="Times New Roman" w:cs="Times New Roman"/>
                  <w:sz w:val="28"/>
                  <w:szCs w:val="28"/>
                  <w:u w:val="single"/>
                </w:rPr>
                <w:t>Public Debt (% of GDP)</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98.3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102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104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105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106</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23" w:history="1">
              <w:r w:rsidR="004379E3" w:rsidRPr="0068182D">
                <w:rPr>
                  <w:rFonts w:ascii="Times New Roman" w:eastAsia="Times New Roman" w:hAnsi="Times New Roman" w:cs="Times New Roman"/>
                  <w:sz w:val="28"/>
                  <w:szCs w:val="28"/>
                  <w:u w:val="single"/>
                </w:rPr>
                <w:t>Money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7.4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8.6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6.8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6.2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5.9</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lang w:val="en-US"/>
              </w:rPr>
            </w:pPr>
            <w:hyperlink r:id="rId24" w:history="1">
              <w:r w:rsidR="004379E3" w:rsidRPr="0068182D">
                <w:rPr>
                  <w:rFonts w:ascii="Times New Roman" w:eastAsia="Times New Roman" w:hAnsi="Times New Roman" w:cs="Times New Roman"/>
                  <w:sz w:val="28"/>
                  <w:szCs w:val="28"/>
                  <w:u w:val="single"/>
                  <w:lang w:val="en-US"/>
                </w:rPr>
                <w:t>Inflation Rate (CPI, annual variation in %, eop)</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0.7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0.7</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lang w:val="en-US"/>
              </w:rPr>
            </w:pPr>
            <w:hyperlink r:id="rId25" w:history="1">
              <w:r w:rsidR="004379E3" w:rsidRPr="0068182D">
                <w:rPr>
                  <w:rFonts w:ascii="Times New Roman" w:eastAsia="Times New Roman" w:hAnsi="Times New Roman" w:cs="Times New Roman"/>
                  <w:sz w:val="28"/>
                  <w:szCs w:val="28"/>
                  <w:u w:val="single"/>
                  <w:lang w:val="en-US"/>
                </w:rPr>
                <w:t>Inflation Rate (CPI,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2.1</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0.1</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lang w:val="en-US"/>
              </w:rPr>
            </w:pPr>
            <w:hyperlink r:id="rId26" w:history="1">
              <w:r w:rsidR="004379E3" w:rsidRPr="0068182D">
                <w:rPr>
                  <w:rFonts w:ascii="Times New Roman" w:eastAsia="Times New Roman" w:hAnsi="Times New Roman" w:cs="Times New Roman"/>
                  <w:sz w:val="28"/>
                  <w:szCs w:val="28"/>
                  <w:u w:val="single"/>
                  <w:lang w:val="en-US"/>
                </w:rPr>
                <w:t>Inflation (PPI,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3.9</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1.6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-0.9</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27" w:history="1">
              <w:r w:rsidR="004379E3" w:rsidRPr="0068182D">
                <w:rPr>
                  <w:rFonts w:ascii="Times New Roman" w:eastAsia="Times New Roman" w:hAnsi="Times New Roman" w:cs="Times New Roman"/>
                  <w:sz w:val="28"/>
                  <w:szCs w:val="28"/>
                  <w:u w:val="single"/>
                </w:rPr>
                <w:t>Policy Interest Rate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0.25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0.25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0.25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0.25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0.50</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lang w:val="en-US"/>
              </w:rPr>
            </w:pPr>
            <w:hyperlink r:id="rId28" w:history="1">
              <w:r w:rsidR="004379E3" w:rsidRPr="0068182D">
                <w:rPr>
                  <w:rFonts w:ascii="Times New Roman" w:eastAsia="Times New Roman" w:hAnsi="Times New Roman" w:cs="Times New Roman"/>
                  <w:sz w:val="28"/>
                  <w:szCs w:val="28"/>
                  <w:u w:val="single"/>
                  <w:lang w:val="en-US"/>
                </w:rPr>
                <w:t>Stock Market (annual variation in %)</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5.5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7.3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26.5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7.5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-2.2</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29" w:history="1">
              <w:r w:rsidR="004379E3" w:rsidRPr="0068182D">
                <w:rPr>
                  <w:rFonts w:ascii="Times New Roman" w:eastAsia="Times New Roman" w:hAnsi="Times New Roman" w:cs="Times New Roman"/>
                  <w:sz w:val="28"/>
                  <w:szCs w:val="28"/>
                  <w:u w:val="single"/>
                </w:rPr>
                <w:t>Current Account (% of GDP)</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-3.0</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-2.3</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-2.7</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lang w:val="en-US"/>
              </w:rPr>
            </w:pPr>
            <w:hyperlink r:id="rId30" w:history="1">
              <w:r w:rsidR="004379E3" w:rsidRPr="0068182D">
                <w:rPr>
                  <w:rFonts w:ascii="Times New Roman" w:eastAsia="Times New Roman" w:hAnsi="Times New Roman" w:cs="Times New Roman"/>
                  <w:sz w:val="28"/>
                  <w:szCs w:val="28"/>
                  <w:u w:val="single"/>
                  <w:lang w:val="en-US"/>
                </w:rPr>
                <w:t>Current Account Balance (USD bn)</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-460.4</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-449.7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-376.8</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-389.5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-484.1</w:t>
            </w:r>
          </w:p>
        </w:tc>
      </w:tr>
      <w:tr w:rsidR="004379E3" w:rsidRPr="0068182D" w:rsidTr="00BE3110">
        <w:tc>
          <w:tcPr>
            <w:tcW w:w="4539" w:type="dxa"/>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CD577A" w:rsidP="00C40532">
            <w:pPr>
              <w:spacing w:after="0" w:line="240" w:lineRule="auto"/>
              <w:jc w:val="both"/>
              <w:rPr>
                <w:rFonts w:ascii="Times New Roman" w:eastAsia="Times New Roman" w:hAnsi="Times New Roman" w:cs="Times New Roman"/>
                <w:sz w:val="28"/>
                <w:szCs w:val="28"/>
              </w:rPr>
            </w:pPr>
            <w:hyperlink r:id="rId31" w:history="1">
              <w:r w:rsidR="004379E3" w:rsidRPr="0068182D">
                <w:rPr>
                  <w:rFonts w:ascii="Times New Roman" w:eastAsia="Times New Roman" w:hAnsi="Times New Roman" w:cs="Times New Roman"/>
                  <w:sz w:val="28"/>
                  <w:szCs w:val="28"/>
                  <w:u w:val="single"/>
                </w:rPr>
                <w:t>Trade Balance (USD billion)</w:t>
              </w:r>
            </w:hyperlink>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-740.7</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-741.2</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-702.6</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-741.5</w:t>
            </w:r>
          </w:p>
        </w:tc>
        <w:tc>
          <w:tcPr>
            <w:tcW w:w="0" w:type="auto"/>
            <w:tcBorders>
              <w:top w:val="single" w:sz="2" w:space="0" w:color="959595"/>
              <w:left w:val="single" w:sz="2" w:space="0" w:color="959595"/>
              <w:bottom w:val="single" w:sz="6" w:space="0" w:color="959595"/>
              <w:right w:val="single" w:sz="2" w:space="0" w:color="959595"/>
            </w:tcBorders>
            <w:tcMar>
              <w:top w:w="107" w:type="dxa"/>
              <w:left w:w="0" w:type="dxa"/>
              <w:bottom w:w="107" w:type="dxa"/>
              <w:right w:w="213" w:type="dxa"/>
            </w:tcMar>
            <w:hideMark/>
          </w:tcPr>
          <w:p w:rsidR="004379E3" w:rsidRPr="0068182D" w:rsidRDefault="004379E3" w:rsidP="00C40532">
            <w:pPr>
              <w:spacing w:after="0" w:line="240" w:lineRule="auto"/>
              <w:jc w:val="both"/>
              <w:rPr>
                <w:rFonts w:ascii="Times New Roman" w:eastAsia="Times New Roman" w:hAnsi="Times New Roman" w:cs="Times New Roman"/>
                <w:sz w:val="28"/>
                <w:szCs w:val="28"/>
              </w:rPr>
            </w:pPr>
            <w:r w:rsidRPr="0068182D">
              <w:rPr>
                <w:rFonts w:ascii="Times New Roman" w:eastAsia="Times New Roman" w:hAnsi="Times New Roman" w:cs="Times New Roman"/>
                <w:sz w:val="28"/>
                <w:szCs w:val="28"/>
              </w:rPr>
              <w:t>-759.3</w:t>
            </w:r>
          </w:p>
        </w:tc>
      </w:tr>
    </w:tbl>
    <w:p w:rsidR="004379E3" w:rsidRPr="0068182D" w:rsidRDefault="004379E3" w:rsidP="00C40532">
      <w:pPr>
        <w:autoSpaceDE w:val="0"/>
        <w:autoSpaceDN w:val="0"/>
        <w:adjustRightInd w:val="0"/>
        <w:spacing w:after="0" w:line="240" w:lineRule="auto"/>
        <w:ind w:firstLine="709"/>
        <w:jc w:val="both"/>
        <w:rPr>
          <w:rFonts w:ascii="Times New Roman" w:eastAsiaTheme="minorHAnsi" w:hAnsi="Times New Roman" w:cs="Times New Roman"/>
          <w:sz w:val="28"/>
          <w:szCs w:val="28"/>
          <w:lang w:val="en-US" w:eastAsia="en-US"/>
        </w:rPr>
      </w:pPr>
    </w:p>
    <w:p w:rsidR="004379E3" w:rsidRPr="00B748C5" w:rsidRDefault="004379E3" w:rsidP="00C40532">
      <w:pPr>
        <w:spacing w:after="0" w:line="240" w:lineRule="auto"/>
        <w:ind w:firstLine="708"/>
        <w:jc w:val="both"/>
        <w:rPr>
          <w:rFonts w:ascii="Times New Roman" w:hAnsi="Times New Roman" w:cs="Times New Roman"/>
          <w:b/>
          <w:bCs/>
          <w:sz w:val="28"/>
          <w:szCs w:val="28"/>
        </w:rPr>
      </w:pPr>
      <w:r w:rsidRPr="00B748C5">
        <w:rPr>
          <w:rFonts w:ascii="Times New Roman" w:hAnsi="Times New Roman" w:cs="Times New Roman"/>
          <w:b/>
          <w:bCs/>
          <w:sz w:val="28"/>
          <w:szCs w:val="28"/>
        </w:rPr>
        <w:t>U.S. Economic History</w:t>
      </w:r>
    </w:p>
    <w:p w:rsidR="004379E3" w:rsidRPr="00B748C5" w:rsidRDefault="004379E3" w:rsidP="00C40532">
      <w:pPr>
        <w:spacing w:after="0" w:line="240" w:lineRule="auto"/>
        <w:jc w:val="both"/>
        <w:rPr>
          <w:rFonts w:ascii="Times New Roman" w:hAnsi="Times New Roman" w:cs="Times New Roman"/>
          <w:b/>
          <w:bCs/>
          <w:sz w:val="28"/>
          <w:szCs w:val="28"/>
        </w:rPr>
      </w:pPr>
    </w:p>
    <w:p w:rsidR="004379E3" w:rsidRPr="00B748C5" w:rsidRDefault="004379E3" w:rsidP="00C40532">
      <w:pPr>
        <w:spacing w:after="0" w:line="240" w:lineRule="auto"/>
        <w:ind w:firstLine="708"/>
        <w:jc w:val="both"/>
        <w:rPr>
          <w:rFonts w:ascii="Times New Roman" w:hAnsi="Times New Roman" w:cs="Times New Roman"/>
          <w:sz w:val="28"/>
          <w:szCs w:val="28"/>
          <w:lang w:val="en-US"/>
        </w:rPr>
      </w:pPr>
      <w:r w:rsidRPr="00B748C5">
        <w:rPr>
          <w:rFonts w:ascii="Times New Roman" w:hAnsi="Times New Roman" w:cs="Times New Roman"/>
          <w:sz w:val="28"/>
          <w:szCs w:val="28"/>
          <w:lang w:val="en-US"/>
        </w:rPr>
        <w:t>The end of World War II marked the beginning of a golden era for the U.S economy. This period was marked by a surge in economic activity and productivity, a growing and more prosperous middle class, and the rise of the baby boomer generation. From the late 1940s to the early 1970s, U.S. GDP grew at an average annual rate of nearly 4%. By the 1970s, the structural change in the economy away from industry and manufacturing to services was in full force. However, after several decades of unprecedented growth, the economy began to show signs of slowing and a series of events, including the collapse of the Bretton Woods system, the 1973 oil crisis and increased global competition, precipitated important economic changes. The 1970s were marked by a period of stagnating growth and inflation referred to as “stagflation”.</w:t>
      </w:r>
      <w:r w:rsidRPr="00B748C5">
        <w:rPr>
          <w:rStyle w:val="apple-converted-space"/>
          <w:rFonts w:ascii="Times New Roman" w:hAnsi="Times New Roman" w:cs="Times New Roman"/>
          <w:sz w:val="28"/>
          <w:szCs w:val="28"/>
          <w:lang w:val="en-US"/>
        </w:rPr>
        <w:t> </w:t>
      </w:r>
    </w:p>
    <w:p w:rsidR="004379E3" w:rsidRPr="00B748C5" w:rsidRDefault="004379E3" w:rsidP="00C40532">
      <w:pPr>
        <w:spacing w:after="0" w:line="240" w:lineRule="auto"/>
        <w:ind w:firstLine="708"/>
        <w:jc w:val="both"/>
        <w:rPr>
          <w:rFonts w:ascii="Times New Roman" w:hAnsi="Times New Roman" w:cs="Times New Roman"/>
          <w:sz w:val="28"/>
          <w:szCs w:val="28"/>
          <w:lang w:val="en-US"/>
        </w:rPr>
      </w:pPr>
      <w:r w:rsidRPr="00B748C5">
        <w:rPr>
          <w:rFonts w:ascii="Times New Roman" w:hAnsi="Times New Roman" w:cs="Times New Roman"/>
          <w:sz w:val="28"/>
          <w:szCs w:val="28"/>
          <w:lang w:val="en-US"/>
        </w:rPr>
        <w:t>The 1980s gave rise to Reaganomics, a series of economic policies promoted by President Ronald Reagan. The main objectives were reduced government spending and regulation, as well as lower taxes and a tighter money supply. Regan was highly successful in overhauling the tax code and pushing ahead with deregulation in several major sectors of the economy; and while growth and productivity increased, the government’s debt multiplied significantly. In a broader sense, Reaganomics marked a turn toward free-market supply-side economics and away from the Keynsian-inspired economics that had been favored since the Great Depression.</w:t>
      </w:r>
      <w:r w:rsidRPr="00B748C5">
        <w:rPr>
          <w:rStyle w:val="apple-converted-space"/>
          <w:rFonts w:ascii="Times New Roman" w:hAnsi="Times New Roman" w:cs="Times New Roman"/>
          <w:sz w:val="28"/>
          <w:szCs w:val="28"/>
          <w:lang w:val="en-US"/>
        </w:rPr>
        <w:t> </w:t>
      </w:r>
    </w:p>
    <w:p w:rsidR="004379E3" w:rsidRPr="00B748C5" w:rsidRDefault="004379E3" w:rsidP="00C40532">
      <w:pPr>
        <w:spacing w:after="0" w:line="240" w:lineRule="auto"/>
        <w:ind w:firstLine="708"/>
        <w:jc w:val="both"/>
        <w:rPr>
          <w:rFonts w:ascii="Times New Roman" w:hAnsi="Times New Roman" w:cs="Times New Roman"/>
          <w:sz w:val="28"/>
          <w:szCs w:val="28"/>
          <w:lang w:val="en-US"/>
        </w:rPr>
      </w:pPr>
      <w:r w:rsidRPr="00B748C5">
        <w:rPr>
          <w:rFonts w:ascii="Times New Roman" w:hAnsi="Times New Roman" w:cs="Times New Roman"/>
          <w:sz w:val="28"/>
          <w:szCs w:val="28"/>
          <w:lang w:val="en-US"/>
        </w:rPr>
        <w:t>Increasing global integration and the rise of new technology, including the adoption of productivity-enhancing IT in the workplace and the surge of high-tech companies, helped fuel an economic boom in the 1990s. The period between 1993 and 2001 marked the longest sustained expansion in U.S economic history, and powered a steep rise in employment, income and consumer demand.</w:t>
      </w:r>
      <w:r w:rsidRPr="00B748C5">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Moreover, the strong growth and low unemployment during this time were particularly remarkable because the government budget was reigned in simultaneously and actually achieved a surplus for four years between 1998 and 2001. The fiscal improvement was made possible in part by tax increases introduced by President Bill Clinton, but also thanks to the booming economy and surging stock market. The stock market was driven up by the rise of internet-based companies in what is known as the “dot-com bubble”, which generated vast sums of unanticipated revenue for the government on capital gains taxes and rising salaries. However, the overvaluation of dot-com stocks eventually became apparent and the bubble burst in 2000.</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first years of the 2000s saw a sharp drop in economy activity following the dot-com burst. The terrorist attacks on September 11, 2001, and several corporate scandals put a further damper on economic activity and business confidence. The Federal Reserve (the Fed), under Alan Greenspan, stepped in to counteract the struggling economy by introducing low interest rates. This move would later be considered a major factor in causing the massive housing market bubble that burst and precipitated the Great Recession that began in 2008.</w:t>
      </w:r>
    </w:p>
    <w:p w:rsidR="004379E3" w:rsidRPr="0068182D" w:rsidRDefault="004379E3" w:rsidP="00C40532">
      <w:pPr>
        <w:spacing w:after="0" w:line="240" w:lineRule="auto"/>
        <w:ind w:firstLine="708"/>
        <w:jc w:val="both"/>
        <w:rPr>
          <w:rStyle w:val="hps"/>
          <w:rFonts w:ascii="Times New Roman" w:hAnsi="Times New Roman" w:cs="Times New Roman"/>
          <w:b/>
          <w:sz w:val="28"/>
          <w:szCs w:val="28"/>
          <w:lang w:val="en-US"/>
        </w:rPr>
      </w:pPr>
    </w:p>
    <w:p w:rsidR="004379E3" w:rsidRPr="0068182D" w:rsidRDefault="004379E3" w:rsidP="00FF2DA0">
      <w:pPr>
        <w:spacing w:after="0" w:line="240" w:lineRule="auto"/>
        <w:ind w:left="708"/>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2.</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US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and its structure</w:t>
      </w:r>
      <w:r w:rsidRPr="0068182D">
        <w:rPr>
          <w:rFonts w:ascii="Times New Roman" w:hAnsi="Times New Roman" w:cs="Times New Roman"/>
          <w:b/>
          <w:sz w:val="28"/>
          <w:szCs w:val="28"/>
          <w:lang w:val="en-US"/>
        </w:rPr>
        <w:br/>
      </w:r>
      <w:r w:rsidRPr="0068182D">
        <w:rPr>
          <w:rFonts w:ascii="Times New Roman" w:hAnsi="Times New Roman" w:cs="Times New Roman"/>
          <w:b/>
          <w:bCs/>
          <w:sz w:val="28"/>
          <w:szCs w:val="28"/>
          <w:lang w:val="en-US"/>
        </w:rPr>
        <w:t>United States’ Balance of payments</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Over the past several decades, the U.S. current account balance has been heavily influenced by international trade flows, with the ongoing trade deficit resulting in a consistent current account deficit. Earnings on U.S. assets and investments owned abroad have a very small part in the current account, and a surplus in this category is not nearly enough to offset the large trade deficit. Overall, the current account deficit implies that the value of the goods and services being purchased from abroad by the United States exceeds the value of the goods and services being sold to foreigners. The U.S. current account deficit widened progressively since the 1990s and reached an all-time record and global high of 5.8% of GDP in 2006. The deficit has since narrowed due in part to increased domestic oil production.</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current account deficit is mirrored by a capital account surplus. The net amount of capital inflows received in the United States from abroad makes it possible to finance the current account deficit. Foreigners continue to invest in U.S. assets and companies, and so the net international investment position of the United States has grown over time. The United States is by far the top recipient of foreign direct investment (FDI). About 80% of FDI in the United States comes from a set of just nine industrialized countries. The UK, Japan and the Netherlands are the top sources of FDI in the U.S. The U.S. manufacturing sector draws about 40% of FDI.</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t>United States’ Trade Structure</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The U.S. is the 2nd leading exporter of goods and services in the world and the number one leading importer. The U.S. has consistently run a trade deficit, mainly due to the dependence on foreign oil to meet its energy needs and high domestic demand for consumer goods produced abroad, however thanks to advances in domestic oil production, the energy gap is closing. The main trading partners of the U.S. are Canada, China, Mexico and Japan. Canada is the main destination for U.S. exports, whereas China is the main source of imports.</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The U.S. plays a major role in the international trade system and is generally seen as a proponent of reduced trade barriers and free trade agreements. The United States currently has more than a dozen free trade agreements in place. Among them are the North American Free Trade Agreement (NAFTA), which was created in conjunction with Canada and Mexico in 1994. The United States is also an active member of the World Trade Organization (WTO).</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t>Exports from the United States</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Although the United States has lost some of its competitive edge in recent decades, material goods still represent two thirds of its total exports. The United States mainly exports high-value capital goods and manufactured products, including industrial machinery, airplanes, motor vehicles and chemicals. In 2015, the U.S. exported USD 1.510 trillion in goods.</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The United States is the world’s leading exporter of services. This includes financial and professional business services as well as other knowledge-intensive services. Travel, transportation and tourism services are also a major export. Services represent about one third of total exports.</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t>Imports to the United States</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More 80% of total imports brought to the United States from abroad are goods. Roughly 15% of these imports are in the form crude oil, fuel oil and petroleum products. Industrial machinery, supplies and equipment represent another 15% of imported goods. Almost 25% of imported goods are capital goods, such as computers, computer accessories, electronics, medical equipment, and telecommunications equipment. Consumer goods represent another 25% of imported goods. Cellphones, pharmaceuticals, toys, household equipment, textiles, apparel, televisions, and footwear are the main types of consumer goods imported to the United States. An additional 15% of imported goods are automotive vehicles, parts, and engines. Food and beverages represent only about 5% of imported goods. Services represent only 20% of total imports, and are primarily financial services, as well as travel and transportation.</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t>United States’ Economic Policy</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The U.S. government has faced the momentous task of reversing the effects of the recession with a combination of expansionary fiscal and monetary policy. On the fiscal side, government stimulus spending and tax cuts prevented further deterioration of the economy. On the monetary side, the Federal Reserve has tackled economic weakness with both traditional and unconventional policies.</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The United States is typically regarded as the home of free-market economic policies. However, the U.S. government exercises a significant amount of regulation over economic, commercial and financial activities. Following the recession, the government stepped up its oversight in the financial sector. The Dodd-Frank act, passed in 2010, represents the most comprehensive reform of financial markets regulation since the Great Depression.</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t>United States’ Fiscal Policy</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The U.S. government tends to spend more money than it takes in, and thus has incurred fiscal deficits almost uninterruptedly during the past several decades. The only time when the government managed to balance a budget in recent history was between 1998 and 2001, when the strong economy resulted in higher-than-usual tax revenues. The fiscal deficit reached the highest point since 1945 in 2009 at 9.8% of GDP, but has improved progressively since then; the deficit dropped to 2.4% of GDP in 2015.</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The largest portion of government spending is mandated by existing laws, with a large amount of funds allocated to entitlement programs such as Social Security and Medicaid. Mandatory spending represents nearly 60% of total government spending. The remainder is referred to as discretionary spending, and is determined by the annual federal budget. About half of the discretionary budget is spent on the military and defense, with the other half spent on government programs and public services.</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Nearly 50% of tax obtained by the U.S. government comes from income taxes on individuals, with an additional 10% coming from income taxes on businesses and corporations. Another 35% of collections come from payroll and social security taxes. Excise taxes charged on goods such as liquor, tobacco and gasoline bring in a smaller amount, less than 5%. Tax revenues equaled about 18% of GDP on average between 1970 and 2010. Total tax revenues as a percentage of GDP were about 18% in 2015.</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The stimulus package introduced by the Obama administration in 2009 included USD 288 billion in tax cuts and incentives. Less than two years later, Obama announced an extension to the tax cuts that had been introduced during the Bush administration at a cost of more than USD 400 billion over two years.</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t>United States’ Monetary Policy</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U.S. Congress has established that the monetary policy objectives of the Federal Reserve are to promote maximum employment and price stability in what is known as the “dual mandate”. The Federal Open Market Committee (FOMC) is the Fed's monetary policymaking body. The FOMC meets about eight times a year to discuss developments and the outlook for the U.S. economy and to debate different policy options, including the level of interest rates. The federal funds rate, the main interest rate managed by the Fed, is the rate which deposit banks charge each other to trade funds overnight in order to maintain reserve balance requirements. The federal funds rate is one of the most important in the U.S. economy because it influences all other short term interest rates.</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During the years since the recession hit, the Fed has been very active.. Interest rates were initially supposed to be kept low only until the unemployment rate dropped to 6.5% or inflation surpassed 2.5%. However, this specific forward guidance was revamped in March 2014 when the Fed announced that any future decisions to hike interest rates no longer depended on previously-established quantitative thresholds, but rather on the assessment of a broad range of more qualitative information. In an additional response to counter the effects of the recession, in December 2012, the Fed announced an unconventional policy known as “quantitative easing”. This policy involves the purchase of vast sums of financial assets in an attempt to increase the money supply and hold down long-term interest rates.</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t>United States’ Exchange Rate Policy</w:t>
      </w:r>
    </w:p>
    <w:p w:rsidR="004379E3" w:rsidRPr="0068182D" w:rsidRDefault="004379E3" w:rsidP="00C40532">
      <w:pPr>
        <w:spacing w:after="0" w:line="240" w:lineRule="auto"/>
        <w:ind w:firstLine="708"/>
        <w:jc w:val="both"/>
        <w:rPr>
          <w:rStyle w:val="apple-converted-space"/>
          <w:rFonts w:ascii="Times New Roman" w:hAnsi="Times New Roman" w:cs="Times New Roman"/>
          <w:sz w:val="28"/>
          <w:szCs w:val="28"/>
          <w:lang w:val="en-US"/>
        </w:rPr>
      </w:pPr>
      <w:r w:rsidRPr="0068182D">
        <w:rPr>
          <w:rFonts w:ascii="Times New Roman" w:hAnsi="Times New Roman" w:cs="Times New Roman"/>
          <w:sz w:val="28"/>
          <w:szCs w:val="28"/>
          <w:lang w:val="en-US"/>
        </w:rPr>
        <w:t>The U.S. dollar is often referred to as the world’s currency because it is by far the most used currency in international transactions and also the most widely held reserve currency. Almost two thirds of currency reserves held throughout the world are in U.S. dollars.</w:t>
      </w:r>
      <w:r w:rsidRPr="0068182D">
        <w:rPr>
          <w:rStyle w:val="apple-converted-space"/>
          <w:rFonts w:ascii="Times New Roman" w:hAnsi="Times New Roman" w:cs="Times New Roman"/>
          <w:sz w:val="28"/>
          <w:szCs w:val="28"/>
          <w:lang w:val="en-US"/>
        </w:rPr>
        <w:t> </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Although the Treasury Department has the primary authority to oversee international financial issues, the Treasury’s decisions regarding foreign exchange are made in consultation with the Federal Reserve. However, U.S. intervention in the foreign exchange market has become increasingly less frequent. U.S. authorities typically let the open foreign exchange market and domestic monetary policies determine rates.</w:t>
      </w:r>
    </w:p>
    <w:p w:rsidR="004379E3" w:rsidRPr="0068182D" w:rsidRDefault="004379E3" w:rsidP="00C40532">
      <w:pPr>
        <w:spacing w:after="0" w:line="240" w:lineRule="auto"/>
        <w:jc w:val="both"/>
        <w:rPr>
          <w:rFonts w:ascii="Times New Roman" w:hAnsi="Times New Roman" w:cs="Times New Roman"/>
          <w:b/>
          <w:sz w:val="28"/>
          <w:szCs w:val="28"/>
          <w:lang w:val="en-US"/>
        </w:rPr>
      </w:pPr>
    </w:p>
    <w:p w:rsidR="004379E3" w:rsidRPr="0068182D" w:rsidRDefault="004379E3" w:rsidP="00C40532">
      <w:pPr>
        <w:spacing w:after="0" w:line="240" w:lineRule="auto"/>
        <w:ind w:firstLine="708"/>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3. Basic</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principles of the US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budget process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structure.</w:t>
      </w:r>
    </w:p>
    <w:p w:rsidR="004379E3" w:rsidRPr="0068182D" w:rsidRDefault="004379E3" w:rsidP="00C40532">
      <w:pPr>
        <w:spacing w:after="0" w:line="240" w:lineRule="auto"/>
        <w:ind w:firstLine="708"/>
        <w:jc w:val="both"/>
        <w:rPr>
          <w:rStyle w:val="hps"/>
          <w:rFonts w:ascii="Times New Roman" w:hAnsi="Times New Roman" w:cs="Times New Roman"/>
          <w:b/>
          <w:sz w:val="28"/>
          <w:szCs w:val="28"/>
          <w:lang w:val="en-US"/>
        </w:rPr>
      </w:pP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w:t>
      </w:r>
      <w:r w:rsidRPr="0068182D">
        <w:rPr>
          <w:rStyle w:val="apple-converted-space"/>
          <w:rFonts w:ascii="Times New Roman" w:hAnsi="Times New Roman" w:cs="Times New Roman"/>
          <w:sz w:val="28"/>
          <w:szCs w:val="28"/>
          <w:lang w:val="en-US"/>
        </w:rPr>
        <w:t> </w:t>
      </w:r>
      <w:r w:rsidRPr="0068182D">
        <w:rPr>
          <w:rFonts w:ascii="Times New Roman" w:hAnsi="Times New Roman" w:cs="Times New Roman"/>
          <w:b/>
          <w:bCs/>
          <w:sz w:val="28"/>
          <w:szCs w:val="28"/>
          <w:lang w:val="en-US"/>
        </w:rPr>
        <w:t>Budget of the United States Government</w:t>
      </w:r>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often begins as the</w:t>
      </w:r>
      <w:r w:rsidRPr="0068182D">
        <w:rPr>
          <w:rStyle w:val="apple-converted-space"/>
          <w:rFonts w:ascii="Times New Roman" w:hAnsi="Times New Roman" w:cs="Times New Roman"/>
          <w:sz w:val="28"/>
          <w:szCs w:val="28"/>
          <w:lang w:val="en-US"/>
        </w:rPr>
        <w:t> </w:t>
      </w:r>
      <w:hyperlink r:id="rId32" w:tooltip="President of the United States" w:history="1">
        <w:r w:rsidRPr="0068182D">
          <w:rPr>
            <w:rStyle w:val="a5"/>
            <w:rFonts w:ascii="Times New Roman" w:hAnsi="Times New Roman" w:cs="Times New Roman"/>
            <w:color w:val="auto"/>
            <w:sz w:val="28"/>
            <w:szCs w:val="28"/>
            <w:u w:val="none"/>
            <w:lang w:val="en-US"/>
          </w:rPr>
          <w:t>President</w:t>
        </w:r>
      </w:hyperlink>
      <w:r w:rsidRPr="0068182D">
        <w:rPr>
          <w:rFonts w:ascii="Times New Roman" w:hAnsi="Times New Roman" w:cs="Times New Roman"/>
          <w:sz w:val="28"/>
          <w:szCs w:val="28"/>
          <w:lang w:val="en-US"/>
        </w:rPr>
        <w:t>'s proposal to the</w:t>
      </w:r>
      <w:r w:rsidRPr="0068182D">
        <w:rPr>
          <w:rStyle w:val="apple-converted-space"/>
          <w:rFonts w:ascii="Times New Roman" w:hAnsi="Times New Roman" w:cs="Times New Roman"/>
          <w:sz w:val="28"/>
          <w:szCs w:val="28"/>
          <w:lang w:val="en-US"/>
        </w:rPr>
        <w:t> </w:t>
      </w:r>
      <w:hyperlink r:id="rId33" w:tooltip="U.S. Congress" w:history="1">
        <w:r w:rsidRPr="0068182D">
          <w:rPr>
            <w:rStyle w:val="a5"/>
            <w:rFonts w:ascii="Times New Roman" w:hAnsi="Times New Roman" w:cs="Times New Roman"/>
            <w:color w:val="auto"/>
            <w:sz w:val="28"/>
            <w:szCs w:val="28"/>
            <w:u w:val="none"/>
            <w:lang w:val="en-US"/>
          </w:rPr>
          <w:t>U.S. Congress</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which recommends funding levels for the next</w:t>
      </w:r>
      <w:r w:rsidRPr="0068182D">
        <w:rPr>
          <w:rStyle w:val="apple-converted-space"/>
          <w:rFonts w:ascii="Times New Roman" w:hAnsi="Times New Roman" w:cs="Times New Roman"/>
          <w:sz w:val="28"/>
          <w:szCs w:val="28"/>
          <w:lang w:val="en-US"/>
        </w:rPr>
        <w:t> </w:t>
      </w:r>
      <w:hyperlink r:id="rId34" w:tooltip="Fiscal year" w:history="1">
        <w:r w:rsidRPr="0068182D">
          <w:rPr>
            <w:rStyle w:val="a5"/>
            <w:rFonts w:ascii="Times New Roman" w:hAnsi="Times New Roman" w:cs="Times New Roman"/>
            <w:color w:val="auto"/>
            <w:sz w:val="28"/>
            <w:szCs w:val="28"/>
            <w:u w:val="none"/>
            <w:lang w:val="en-US"/>
          </w:rPr>
          <w:t>fiscal year</w:t>
        </w:r>
      </w:hyperlink>
      <w:r w:rsidRPr="0068182D">
        <w:rPr>
          <w:rFonts w:ascii="Times New Roman" w:hAnsi="Times New Roman" w:cs="Times New Roman"/>
          <w:sz w:val="28"/>
          <w:szCs w:val="28"/>
          <w:lang w:val="en-US"/>
        </w:rPr>
        <w:t>, beginning October 1 and ending on September 30 of the year following. The fiscal year is named for the year in which it ends. However, Congress is the body required by law to pass appropriations annually and to submit funding bills passed by both houses to the President for signature. Congressional decisions are governed by rules and legislation regarding the</w:t>
      </w:r>
      <w:r w:rsidRPr="0068182D">
        <w:rPr>
          <w:rStyle w:val="apple-converted-space"/>
          <w:rFonts w:ascii="Times New Roman" w:hAnsi="Times New Roman" w:cs="Times New Roman"/>
          <w:sz w:val="28"/>
          <w:szCs w:val="28"/>
          <w:lang w:val="en-US"/>
        </w:rPr>
        <w:t> </w:t>
      </w:r>
      <w:hyperlink r:id="rId35" w:tooltip="United States budget process" w:history="1">
        <w:r w:rsidRPr="0068182D">
          <w:rPr>
            <w:rStyle w:val="a5"/>
            <w:rFonts w:ascii="Times New Roman" w:hAnsi="Times New Roman" w:cs="Times New Roman"/>
            <w:color w:val="auto"/>
            <w:sz w:val="28"/>
            <w:szCs w:val="28"/>
            <w:u w:val="none"/>
            <w:lang w:val="en-US"/>
          </w:rPr>
          <w:t>federal budget process</w:t>
        </w:r>
      </w:hyperlink>
      <w:r w:rsidRPr="0068182D">
        <w:rPr>
          <w:rFonts w:ascii="Times New Roman" w:hAnsi="Times New Roman" w:cs="Times New Roman"/>
          <w:sz w:val="28"/>
          <w:szCs w:val="28"/>
          <w:lang w:val="en-US"/>
        </w:rPr>
        <w:t>. Budget committees set spending limits for the House and Senate committees and for Appropriations subcommittees, which then approve individual</w:t>
      </w:r>
      <w:r w:rsidRPr="0068182D">
        <w:rPr>
          <w:rStyle w:val="apple-converted-space"/>
          <w:rFonts w:ascii="Times New Roman" w:hAnsi="Times New Roman" w:cs="Times New Roman"/>
          <w:sz w:val="28"/>
          <w:szCs w:val="28"/>
          <w:lang w:val="en-US"/>
        </w:rPr>
        <w:t> </w:t>
      </w:r>
      <w:hyperlink r:id="rId36" w:tooltip="Appropriations bill (United States)" w:history="1">
        <w:r w:rsidRPr="0068182D">
          <w:rPr>
            <w:rStyle w:val="a5"/>
            <w:rFonts w:ascii="Times New Roman" w:hAnsi="Times New Roman" w:cs="Times New Roman"/>
            <w:color w:val="auto"/>
            <w:sz w:val="28"/>
            <w:szCs w:val="28"/>
            <w:u w:val="none"/>
            <w:lang w:val="en-US"/>
          </w:rPr>
          <w:t>appropriations bills</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to allocate funding to various federal programs.</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If Congress fails to pass an annual budget, a series of Appropriations bills must be passed as "stop gap" measures. After Congress approves an appropriations bill, it is sent to the President, who may sign it into law, or may veto it (as he would a budget when passed by the Congress). A vetoed bill is sent back to Congress, which can pass it into law with a two-thirds majority in each chamber. Congress may also combine all or some appropriations bills into an omnibus reconciliation bill. In addition, the president may request and the Congress may pass supplemental appropriations bills or emergency supplemental appropriations bills.</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Several government agencies provide budget data and analysis. These include the</w:t>
      </w:r>
      <w:r w:rsidRPr="0068182D">
        <w:rPr>
          <w:rStyle w:val="apple-converted-space"/>
          <w:rFonts w:ascii="Times New Roman" w:hAnsi="Times New Roman" w:cs="Times New Roman"/>
          <w:sz w:val="28"/>
          <w:szCs w:val="28"/>
          <w:lang w:val="en-US"/>
        </w:rPr>
        <w:t> </w:t>
      </w:r>
      <w:hyperlink r:id="rId37" w:tooltip="Government Accountability Office" w:history="1">
        <w:r w:rsidRPr="0068182D">
          <w:rPr>
            <w:rStyle w:val="a5"/>
            <w:rFonts w:ascii="Times New Roman" w:hAnsi="Times New Roman" w:cs="Times New Roman"/>
            <w:color w:val="auto"/>
            <w:sz w:val="28"/>
            <w:szCs w:val="28"/>
            <w:u w:val="none"/>
            <w:lang w:val="en-US"/>
          </w:rPr>
          <w:t>Government Accountability Office</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(GAO),</w:t>
      </w:r>
      <w:r w:rsidRPr="0068182D">
        <w:rPr>
          <w:rStyle w:val="apple-converted-space"/>
          <w:rFonts w:ascii="Times New Roman" w:hAnsi="Times New Roman" w:cs="Times New Roman"/>
          <w:sz w:val="28"/>
          <w:szCs w:val="28"/>
          <w:lang w:val="en-US"/>
        </w:rPr>
        <w:t> </w:t>
      </w:r>
      <w:hyperlink r:id="rId38" w:tooltip="Congressional Budget Office" w:history="1">
        <w:r w:rsidRPr="0068182D">
          <w:rPr>
            <w:rStyle w:val="a5"/>
            <w:rFonts w:ascii="Times New Roman" w:hAnsi="Times New Roman" w:cs="Times New Roman"/>
            <w:color w:val="auto"/>
            <w:sz w:val="28"/>
            <w:szCs w:val="28"/>
            <w:u w:val="none"/>
            <w:lang w:val="en-US"/>
          </w:rPr>
          <w:t>Congressional Budget Office</w:t>
        </w:r>
      </w:hyperlink>
      <w:r w:rsidRPr="0068182D">
        <w:rPr>
          <w:rFonts w:ascii="Times New Roman" w:hAnsi="Times New Roman" w:cs="Times New Roman"/>
          <w:sz w:val="28"/>
          <w:szCs w:val="28"/>
          <w:lang w:val="en-US"/>
        </w:rPr>
        <w:t>, the</w:t>
      </w:r>
      <w:r w:rsidRPr="0068182D">
        <w:rPr>
          <w:rStyle w:val="apple-converted-space"/>
          <w:rFonts w:ascii="Times New Roman" w:hAnsi="Times New Roman" w:cs="Times New Roman"/>
          <w:sz w:val="28"/>
          <w:szCs w:val="28"/>
          <w:lang w:val="en-US"/>
        </w:rPr>
        <w:t> </w:t>
      </w:r>
      <w:hyperlink r:id="rId39" w:tooltip="Office of Management and Budget" w:history="1">
        <w:r w:rsidRPr="0068182D">
          <w:rPr>
            <w:rStyle w:val="a5"/>
            <w:rFonts w:ascii="Times New Roman" w:hAnsi="Times New Roman" w:cs="Times New Roman"/>
            <w:color w:val="auto"/>
            <w:sz w:val="28"/>
            <w:szCs w:val="28"/>
            <w:u w:val="none"/>
            <w:lang w:val="en-US"/>
          </w:rPr>
          <w:t>Office of Management and Budget</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(OMB) and the</w:t>
      </w:r>
      <w:r w:rsidRPr="0068182D">
        <w:rPr>
          <w:rStyle w:val="apple-converted-space"/>
          <w:rFonts w:ascii="Times New Roman" w:hAnsi="Times New Roman" w:cs="Times New Roman"/>
          <w:sz w:val="28"/>
          <w:szCs w:val="28"/>
          <w:lang w:val="en-US"/>
        </w:rPr>
        <w:t> </w:t>
      </w:r>
      <w:hyperlink r:id="rId40" w:tooltip="U.S. Treasury Department" w:history="1">
        <w:r w:rsidRPr="0068182D">
          <w:rPr>
            <w:rStyle w:val="a5"/>
            <w:rFonts w:ascii="Times New Roman" w:hAnsi="Times New Roman" w:cs="Times New Roman"/>
            <w:color w:val="auto"/>
            <w:sz w:val="28"/>
            <w:szCs w:val="28"/>
            <w:u w:val="none"/>
            <w:lang w:val="en-US"/>
          </w:rPr>
          <w:t>U.S. Treasury Department</w:t>
        </w:r>
      </w:hyperlink>
      <w:r w:rsidRPr="0068182D">
        <w:rPr>
          <w:rFonts w:ascii="Times New Roman" w:hAnsi="Times New Roman" w:cs="Times New Roman"/>
          <w:sz w:val="28"/>
          <w:szCs w:val="28"/>
          <w:lang w:val="en-US"/>
        </w:rPr>
        <w:t>. These agencies have reported that the federal government is facing a series of important long-run financing challenges, primarily driven by an aging population, rising interest payments, and spending for healthcare programs such as</w:t>
      </w:r>
      <w:r w:rsidRPr="0068182D">
        <w:rPr>
          <w:rStyle w:val="apple-converted-space"/>
          <w:rFonts w:ascii="Times New Roman" w:hAnsi="Times New Roman" w:cs="Times New Roman"/>
          <w:sz w:val="28"/>
          <w:szCs w:val="28"/>
          <w:lang w:val="en-US"/>
        </w:rPr>
        <w:t> </w:t>
      </w:r>
      <w:hyperlink r:id="rId41" w:tooltip="Medicare (United States)" w:history="1">
        <w:r w:rsidRPr="0068182D">
          <w:rPr>
            <w:rStyle w:val="a5"/>
            <w:rFonts w:ascii="Times New Roman" w:hAnsi="Times New Roman" w:cs="Times New Roman"/>
            <w:color w:val="auto"/>
            <w:sz w:val="28"/>
            <w:szCs w:val="28"/>
            <w:u w:val="none"/>
            <w:lang w:val="en-US"/>
          </w:rPr>
          <w:t>Medicare</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and</w:t>
      </w:r>
      <w:r w:rsidRPr="0068182D">
        <w:rPr>
          <w:rStyle w:val="apple-converted-space"/>
          <w:rFonts w:ascii="Times New Roman" w:hAnsi="Times New Roman" w:cs="Times New Roman"/>
          <w:sz w:val="28"/>
          <w:szCs w:val="28"/>
          <w:lang w:val="en-US"/>
        </w:rPr>
        <w:t> </w:t>
      </w:r>
      <w:hyperlink r:id="rId42" w:tooltip="Medicaid" w:history="1">
        <w:r w:rsidRPr="0068182D">
          <w:rPr>
            <w:rStyle w:val="a5"/>
            <w:rFonts w:ascii="Times New Roman" w:hAnsi="Times New Roman" w:cs="Times New Roman"/>
            <w:color w:val="auto"/>
            <w:sz w:val="28"/>
            <w:szCs w:val="28"/>
            <w:u w:val="none"/>
            <w:lang w:val="en-US"/>
          </w:rPr>
          <w:t>Medicaid</w:t>
        </w:r>
      </w:hyperlink>
      <w:r w:rsidRPr="0068182D">
        <w:rPr>
          <w:rFonts w:ascii="Times New Roman" w:hAnsi="Times New Roman" w:cs="Times New Roman"/>
          <w:sz w:val="28"/>
          <w:szCs w:val="28"/>
          <w:lang w:val="en-US"/>
        </w:rPr>
        <w:t xml:space="preserve">. </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During fiscal year 2015, the Federal government received approximately $3.25 trillion in tax and fee revenue and had outlays (spending) of $3.7 trillion; the difference was a $440 billion</w:t>
      </w:r>
      <w:r w:rsidRPr="0068182D">
        <w:rPr>
          <w:rStyle w:val="apple-converted-space"/>
          <w:rFonts w:ascii="Times New Roman" w:hAnsi="Times New Roman" w:cs="Times New Roman"/>
          <w:sz w:val="28"/>
          <w:szCs w:val="28"/>
          <w:lang w:val="en-US"/>
        </w:rPr>
        <w:t> </w:t>
      </w:r>
      <w:hyperlink r:id="rId43" w:tooltip="Government budget balance" w:history="1">
        <w:r w:rsidRPr="0068182D">
          <w:rPr>
            <w:rStyle w:val="a5"/>
            <w:rFonts w:ascii="Times New Roman" w:hAnsi="Times New Roman" w:cs="Times New Roman"/>
            <w:color w:val="auto"/>
            <w:sz w:val="28"/>
            <w:szCs w:val="28"/>
            <w:u w:val="none"/>
            <w:lang w:val="en-US"/>
          </w:rPr>
          <w:t>deficit</w:t>
        </w:r>
      </w:hyperlink>
      <w:r w:rsidRPr="0068182D">
        <w:rPr>
          <w:rFonts w:ascii="Times New Roman" w:hAnsi="Times New Roman" w:cs="Times New Roman"/>
          <w:sz w:val="28"/>
          <w:szCs w:val="28"/>
          <w:lang w:val="en-US"/>
        </w:rPr>
        <w:t>. Measured as a percentage of</w:t>
      </w:r>
      <w:r w:rsidRPr="0068182D">
        <w:rPr>
          <w:rStyle w:val="apple-converted-space"/>
          <w:rFonts w:ascii="Times New Roman" w:hAnsi="Times New Roman" w:cs="Times New Roman"/>
          <w:sz w:val="28"/>
          <w:szCs w:val="28"/>
          <w:lang w:val="en-US"/>
        </w:rPr>
        <w:t> </w:t>
      </w:r>
      <w:hyperlink r:id="rId44" w:tooltip="Gross domestic product" w:history="1">
        <w:r w:rsidRPr="0068182D">
          <w:rPr>
            <w:rStyle w:val="a5"/>
            <w:rFonts w:ascii="Times New Roman" w:hAnsi="Times New Roman" w:cs="Times New Roman"/>
            <w:color w:val="auto"/>
            <w:sz w:val="28"/>
            <w:szCs w:val="28"/>
            <w:u w:val="none"/>
            <w:lang w:val="en-US"/>
          </w:rPr>
          <w:t>gross domestic product</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(a measure of the size of the economy), revenues were 18.2% GDP, well above the historical average (1980-2015) of 17.4% GDP. Outlays of 20.7% GDP were slightly above the average of 20.6% GDP. The deficit of 2.5% GDP was below the 3.2% GDP historical average. After a significant increase primarily due to the</w:t>
      </w:r>
      <w:r w:rsidRPr="0068182D">
        <w:rPr>
          <w:rStyle w:val="apple-converted-space"/>
          <w:rFonts w:ascii="Times New Roman" w:hAnsi="Times New Roman" w:cs="Times New Roman"/>
          <w:sz w:val="28"/>
          <w:szCs w:val="28"/>
          <w:lang w:val="en-US"/>
        </w:rPr>
        <w:t> </w:t>
      </w:r>
      <w:hyperlink r:id="rId45" w:tooltip="Great Recession" w:history="1">
        <w:r w:rsidRPr="0068182D">
          <w:rPr>
            <w:rStyle w:val="a5"/>
            <w:rFonts w:ascii="Times New Roman" w:hAnsi="Times New Roman" w:cs="Times New Roman"/>
            <w:color w:val="auto"/>
            <w:sz w:val="28"/>
            <w:szCs w:val="28"/>
            <w:u w:val="none"/>
            <w:lang w:val="en-US"/>
          </w:rPr>
          <w:t>Great Recession</w:t>
        </w:r>
      </w:hyperlink>
      <w:r w:rsidRPr="0068182D">
        <w:rPr>
          <w:rFonts w:ascii="Times New Roman" w:hAnsi="Times New Roman" w:cs="Times New Roman"/>
          <w:sz w:val="28"/>
          <w:szCs w:val="28"/>
          <w:lang w:val="en-US"/>
        </w:rPr>
        <w:t>, the annual deficit returned to its historical average in fiscal year 2014 and is projected to remain around that level until 2019 before slowly rising.</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President</w:t>
      </w:r>
      <w:r w:rsidRPr="0068182D">
        <w:rPr>
          <w:rStyle w:val="apple-converted-space"/>
          <w:rFonts w:ascii="Times New Roman" w:hAnsi="Times New Roman" w:cs="Times New Roman"/>
          <w:sz w:val="28"/>
          <w:szCs w:val="28"/>
          <w:lang w:val="en-US"/>
        </w:rPr>
        <w:t> </w:t>
      </w:r>
      <w:hyperlink r:id="rId46" w:tooltip="Donald Trump" w:history="1">
        <w:r w:rsidRPr="0068182D">
          <w:rPr>
            <w:rStyle w:val="a5"/>
            <w:rFonts w:ascii="Times New Roman" w:hAnsi="Times New Roman" w:cs="Times New Roman"/>
            <w:color w:val="auto"/>
            <w:sz w:val="28"/>
            <w:szCs w:val="28"/>
            <w:u w:val="none"/>
            <w:lang w:val="en-US"/>
          </w:rPr>
          <w:t>Donald Trump</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has proposed</w:t>
      </w:r>
      <w:r w:rsidRPr="0068182D">
        <w:rPr>
          <w:rStyle w:val="apple-converted-space"/>
          <w:rFonts w:ascii="Times New Roman" w:hAnsi="Times New Roman" w:cs="Times New Roman"/>
          <w:sz w:val="28"/>
          <w:szCs w:val="28"/>
          <w:lang w:val="en-US"/>
        </w:rPr>
        <w:t> </w:t>
      </w:r>
      <w:hyperlink r:id="rId47" w:tooltip="Political positions of Donald Trump" w:history="1">
        <w:r w:rsidRPr="0068182D">
          <w:rPr>
            <w:rStyle w:val="a5"/>
            <w:rFonts w:ascii="Times New Roman" w:hAnsi="Times New Roman" w:cs="Times New Roman"/>
            <w:color w:val="auto"/>
            <w:sz w:val="28"/>
            <w:szCs w:val="28"/>
            <w:u w:val="none"/>
            <w:lang w:val="en-US"/>
          </w:rPr>
          <w:t>policies</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including significant tax cuts and increased spending on defense and infrastructure. The</w:t>
      </w:r>
      <w:r w:rsidRPr="0068182D">
        <w:rPr>
          <w:rStyle w:val="apple-converted-space"/>
          <w:rFonts w:ascii="Times New Roman" w:hAnsi="Times New Roman" w:cs="Times New Roman"/>
          <w:sz w:val="28"/>
          <w:szCs w:val="28"/>
          <w:lang w:val="en-US"/>
        </w:rPr>
        <w:t> </w:t>
      </w:r>
      <w:hyperlink r:id="rId48" w:tooltip="Committee for a Responsible Federal Budget" w:history="1">
        <w:r w:rsidRPr="0068182D">
          <w:rPr>
            <w:rStyle w:val="a5"/>
            <w:rFonts w:ascii="Times New Roman" w:hAnsi="Times New Roman" w:cs="Times New Roman"/>
            <w:color w:val="auto"/>
            <w:sz w:val="28"/>
            <w:szCs w:val="28"/>
            <w:u w:val="none"/>
            <w:lang w:val="en-US"/>
          </w:rPr>
          <w:t>Committee for a Responsible Federal Budget</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and</w:t>
      </w:r>
      <w:r w:rsidRPr="0068182D">
        <w:rPr>
          <w:rStyle w:val="apple-converted-space"/>
          <w:rFonts w:ascii="Times New Roman" w:hAnsi="Times New Roman" w:cs="Times New Roman"/>
          <w:sz w:val="28"/>
          <w:szCs w:val="28"/>
          <w:lang w:val="en-US"/>
        </w:rPr>
        <w:t> </w:t>
      </w:r>
      <w:hyperlink r:id="rId49" w:tooltip="Moody's Analytics" w:history="1">
        <w:r w:rsidRPr="0068182D">
          <w:rPr>
            <w:rStyle w:val="a5"/>
            <w:rFonts w:ascii="Times New Roman" w:hAnsi="Times New Roman" w:cs="Times New Roman"/>
            <w:color w:val="auto"/>
            <w:sz w:val="28"/>
            <w:szCs w:val="28"/>
            <w:u w:val="none"/>
            <w:lang w:val="en-US"/>
          </w:rPr>
          <w:t>Moody's Analytics</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reported in 2016 that enacting these policies would dramatically increase the annual budget deficits and national debt over the 2017-2026 periods, relative to the current policy baseline, which already includes a sizable debt increase.</w:t>
      </w:r>
    </w:p>
    <w:p w:rsidR="004379E3" w:rsidRPr="0068182D" w:rsidRDefault="004379E3" w:rsidP="00C40532">
      <w:pPr>
        <w:spacing w:after="0" w:line="240" w:lineRule="auto"/>
        <w:ind w:firstLine="708"/>
        <w:jc w:val="both"/>
        <w:rPr>
          <w:rStyle w:val="mw-headline"/>
          <w:rFonts w:ascii="Times New Roman" w:hAnsi="Times New Roman" w:cs="Times New Roman"/>
          <w:b/>
          <w:bCs/>
          <w:sz w:val="28"/>
          <w:szCs w:val="28"/>
          <w:lang w:val="en-US"/>
        </w:rPr>
      </w:pPr>
      <w:r w:rsidRPr="0068182D">
        <w:rPr>
          <w:rStyle w:val="mw-headline"/>
          <w:rFonts w:ascii="Times New Roman" w:hAnsi="Times New Roman" w:cs="Times New Roman"/>
          <w:b/>
          <w:bCs/>
          <w:sz w:val="28"/>
          <w:szCs w:val="28"/>
          <w:lang w:val="en-US"/>
        </w:rPr>
        <w:t>Budget principles</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w:t>
      </w:r>
      <w:r w:rsidRPr="0068182D">
        <w:rPr>
          <w:rStyle w:val="apple-converted-space"/>
          <w:rFonts w:ascii="Times New Roman" w:hAnsi="Times New Roman" w:cs="Times New Roman"/>
          <w:sz w:val="28"/>
          <w:szCs w:val="28"/>
          <w:lang w:val="en-US"/>
        </w:rPr>
        <w:t> </w:t>
      </w:r>
      <w:hyperlink r:id="rId50" w:tooltip="U.S. Constitution" w:history="1">
        <w:r w:rsidRPr="0068182D">
          <w:rPr>
            <w:rStyle w:val="a5"/>
            <w:rFonts w:ascii="Times New Roman" w:hAnsi="Times New Roman" w:cs="Times New Roman"/>
            <w:color w:val="auto"/>
            <w:sz w:val="28"/>
            <w:szCs w:val="28"/>
            <w:u w:val="none"/>
            <w:lang w:val="en-US"/>
          </w:rPr>
          <w:t>U.S. Constitution</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w:t>
      </w:r>
      <w:hyperlink r:id="rId51" w:tooltip="Article One of the United States Constitution" w:history="1">
        <w:r w:rsidRPr="0068182D">
          <w:rPr>
            <w:rStyle w:val="a5"/>
            <w:rFonts w:ascii="Times New Roman" w:hAnsi="Times New Roman" w:cs="Times New Roman"/>
            <w:color w:val="auto"/>
            <w:sz w:val="28"/>
            <w:szCs w:val="28"/>
            <w:u w:val="none"/>
            <w:lang w:val="en-US"/>
          </w:rPr>
          <w:t>Article I</w:t>
        </w:r>
      </w:hyperlink>
      <w:r w:rsidRPr="0068182D">
        <w:rPr>
          <w:rFonts w:ascii="Times New Roman" w:hAnsi="Times New Roman" w:cs="Times New Roman"/>
          <w:sz w:val="28"/>
          <w:szCs w:val="28"/>
          <w:lang w:val="en-US"/>
        </w:rPr>
        <w:t>, section 9, clause 7) states that "No money shall be drawn from the Treasury, but in Consequence of Appropriations made by Law; and a regular Statement and Account of Receipts and Expenditures of all public Money shall be published from time to time."</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Each year, the President of the United States submits a budget request to Congress for the following fiscal year as required by the</w:t>
      </w:r>
      <w:r w:rsidRPr="0068182D">
        <w:rPr>
          <w:rStyle w:val="apple-converted-space"/>
          <w:rFonts w:ascii="Times New Roman" w:hAnsi="Times New Roman" w:cs="Times New Roman"/>
          <w:sz w:val="28"/>
          <w:szCs w:val="28"/>
          <w:lang w:val="en-US"/>
        </w:rPr>
        <w:t> </w:t>
      </w:r>
      <w:hyperlink r:id="rId52" w:tooltip="Budget and Accounting Act of 1921" w:history="1">
        <w:r w:rsidRPr="0068182D">
          <w:rPr>
            <w:rStyle w:val="a5"/>
            <w:rFonts w:ascii="Times New Roman" w:hAnsi="Times New Roman" w:cs="Times New Roman"/>
            <w:color w:val="auto"/>
            <w:sz w:val="28"/>
            <w:szCs w:val="28"/>
            <w:u w:val="none"/>
            <w:lang w:val="en-US"/>
          </w:rPr>
          <w:t>Budget and Accounting Act of 1921</w:t>
        </w:r>
      </w:hyperlink>
      <w:r w:rsidRPr="0068182D">
        <w:rPr>
          <w:rFonts w:ascii="Times New Roman" w:hAnsi="Times New Roman" w:cs="Times New Roman"/>
          <w:sz w:val="28"/>
          <w:szCs w:val="28"/>
          <w:lang w:val="en-US"/>
        </w:rPr>
        <w:t>. Current law (</w:t>
      </w:r>
      <w:hyperlink r:id="rId53" w:tooltip="Title 31 of the United States Code" w:history="1">
        <w:r w:rsidRPr="0068182D">
          <w:rPr>
            <w:rStyle w:val="a5"/>
            <w:rFonts w:ascii="Times New Roman" w:hAnsi="Times New Roman" w:cs="Times New Roman"/>
            <w:color w:val="auto"/>
            <w:sz w:val="28"/>
            <w:szCs w:val="28"/>
            <w:u w:val="none"/>
            <w:lang w:val="en-US"/>
          </w:rPr>
          <w:t>31 U.S.C.</w:t>
        </w:r>
      </w:hyperlink>
      <w:r w:rsidRPr="0068182D">
        <w:rPr>
          <w:rFonts w:ascii="Times New Roman" w:hAnsi="Times New Roman" w:cs="Times New Roman"/>
          <w:sz w:val="28"/>
          <w:szCs w:val="28"/>
          <w:lang w:val="en-US"/>
        </w:rPr>
        <w:t> </w:t>
      </w:r>
      <w:hyperlink r:id="rId54" w:history="1">
        <w:r w:rsidRPr="0068182D">
          <w:rPr>
            <w:rStyle w:val="a5"/>
            <w:rFonts w:ascii="Times New Roman" w:hAnsi="Times New Roman" w:cs="Times New Roman"/>
            <w:color w:val="auto"/>
            <w:sz w:val="28"/>
            <w:szCs w:val="28"/>
            <w:u w:val="none"/>
            <w:lang w:val="en-US"/>
          </w:rPr>
          <w:t>§ 1105</w:t>
        </w:r>
      </w:hyperlink>
      <w:r w:rsidRPr="0068182D">
        <w:rPr>
          <w:rFonts w:ascii="Times New Roman" w:hAnsi="Times New Roman" w:cs="Times New Roman"/>
          <w:sz w:val="28"/>
          <w:szCs w:val="28"/>
          <w:lang w:val="en-US"/>
        </w:rPr>
        <w:t>(a)) requires the president to submit a budget no earlier than the first Monday in January, and no later than the first Monday in February. Typically, presidents submit budgets on the first Monday in February. The budget submission has been delayed, however, in some new presidents' first year when the previous president belonged to a different party.</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federal budget is calculated largely on a cash basis. That is, revenues and outlays are recognized when transactions are made. Therefore, the full long-term costs of entitlement programs such as Medicare, Social Security, and the federal portion of Medicaid are not reflected in the federal budget. By contrast, many businesses and some other national governments have adopted forms of accrual accounting, which recognizes obligations and revenues when they are incurred. The costs of some federal credit and loan programs, according to provisions of the Federal Credit Reform Act of 1990, are calculated on a</w:t>
      </w:r>
      <w:r w:rsidRPr="0068182D">
        <w:rPr>
          <w:rStyle w:val="apple-converted-space"/>
          <w:rFonts w:ascii="Times New Roman" w:hAnsi="Times New Roman" w:cs="Times New Roman"/>
          <w:sz w:val="28"/>
          <w:szCs w:val="28"/>
          <w:lang w:val="en-US"/>
        </w:rPr>
        <w:t> </w:t>
      </w:r>
      <w:hyperlink r:id="rId55" w:tooltip="Net present value" w:history="1">
        <w:r w:rsidRPr="0068182D">
          <w:rPr>
            <w:rStyle w:val="a5"/>
            <w:rFonts w:ascii="Times New Roman" w:hAnsi="Times New Roman" w:cs="Times New Roman"/>
            <w:color w:val="auto"/>
            <w:sz w:val="28"/>
            <w:szCs w:val="28"/>
            <w:u w:val="none"/>
            <w:lang w:val="en-US"/>
          </w:rPr>
          <w:t>net present value</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basis.</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Federal agencies cannot spend money unless funds are authorized and appropriated. Typically, separate Congressional committees have jurisdiction over</w:t>
      </w:r>
      <w:r w:rsidRPr="0068182D">
        <w:rPr>
          <w:rStyle w:val="apple-converted-space"/>
          <w:rFonts w:ascii="Times New Roman" w:hAnsi="Times New Roman" w:cs="Times New Roman"/>
          <w:sz w:val="28"/>
          <w:szCs w:val="28"/>
          <w:lang w:val="en-US"/>
        </w:rPr>
        <w:t> </w:t>
      </w:r>
      <w:hyperlink r:id="rId56" w:tooltip="Authorization bill" w:history="1">
        <w:r w:rsidRPr="0068182D">
          <w:rPr>
            <w:rStyle w:val="a5"/>
            <w:rFonts w:ascii="Times New Roman" w:hAnsi="Times New Roman" w:cs="Times New Roman"/>
            <w:color w:val="auto"/>
            <w:sz w:val="28"/>
            <w:szCs w:val="28"/>
            <w:u w:val="none"/>
            <w:lang w:val="en-US"/>
          </w:rPr>
          <w:t>authorization</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and appropriations. The House and Senate Appropriations Committees currently have 12 subcommittees, which are responsible for drafting the 12 regular appropriations bills that determine amounts of discretionary spending for various federal programs. Appropriations bills must pass both the House and Senate and then be signed by the president in order to give federal agencies the legal budget authority to spend.</w:t>
      </w:r>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In many recent years, regular appropriations bills have been combined into "omnibus" bills.</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Congress may also pass "special" or "emergency" appropriations. Spending that is deemed an "emergency" is exempt from certain Congressional budget enforcement rules. Funds for disaster relief have sometimes come from supplemental appropriations, such as after</w:t>
      </w:r>
      <w:r w:rsidRPr="0068182D">
        <w:rPr>
          <w:rStyle w:val="apple-converted-space"/>
          <w:rFonts w:ascii="Times New Roman" w:hAnsi="Times New Roman" w:cs="Times New Roman"/>
          <w:sz w:val="28"/>
          <w:szCs w:val="28"/>
          <w:lang w:val="en-US"/>
        </w:rPr>
        <w:t> </w:t>
      </w:r>
      <w:hyperlink r:id="rId57" w:tooltip="Hurricane Katrina" w:history="1">
        <w:r w:rsidRPr="0068182D">
          <w:rPr>
            <w:rStyle w:val="a5"/>
            <w:rFonts w:ascii="Times New Roman" w:hAnsi="Times New Roman" w:cs="Times New Roman"/>
            <w:color w:val="auto"/>
            <w:sz w:val="28"/>
            <w:szCs w:val="28"/>
            <w:u w:val="none"/>
            <w:lang w:val="en-US"/>
          </w:rPr>
          <w:t>Hurricane Katrina</w:t>
        </w:r>
      </w:hyperlink>
      <w:r w:rsidRPr="0068182D">
        <w:rPr>
          <w:rFonts w:ascii="Times New Roman" w:hAnsi="Times New Roman" w:cs="Times New Roman"/>
          <w:sz w:val="28"/>
          <w:szCs w:val="28"/>
          <w:lang w:val="en-US"/>
        </w:rPr>
        <w:t>. In other cases, funds included in emergency supplemental appropriations bills support activities not obviously related to actual emergencies, such as parts of the</w:t>
      </w:r>
      <w:r w:rsidRPr="0068182D">
        <w:rPr>
          <w:rStyle w:val="apple-converted-space"/>
          <w:rFonts w:ascii="Times New Roman" w:hAnsi="Times New Roman" w:cs="Times New Roman"/>
          <w:sz w:val="28"/>
          <w:szCs w:val="28"/>
          <w:lang w:val="en-US"/>
        </w:rPr>
        <w:t> </w:t>
      </w:r>
      <w:hyperlink r:id="rId58" w:tooltip="United States Census, 2000" w:history="1">
        <w:r w:rsidRPr="0068182D">
          <w:rPr>
            <w:rStyle w:val="a5"/>
            <w:rFonts w:ascii="Times New Roman" w:hAnsi="Times New Roman" w:cs="Times New Roman"/>
            <w:color w:val="auto"/>
            <w:sz w:val="28"/>
            <w:szCs w:val="28"/>
            <w:u w:val="none"/>
            <w:lang w:val="en-US"/>
          </w:rPr>
          <w:t>2000 Census of Population and Housing</w:t>
        </w:r>
      </w:hyperlink>
      <w:r w:rsidRPr="0068182D">
        <w:rPr>
          <w:rFonts w:ascii="Times New Roman" w:hAnsi="Times New Roman" w:cs="Times New Roman"/>
          <w:sz w:val="28"/>
          <w:szCs w:val="28"/>
          <w:lang w:val="en-US"/>
        </w:rPr>
        <w:t>. Special appropriations have been used to fund most of the costs of war and occupation in</w:t>
      </w:r>
      <w:r w:rsidRPr="0068182D">
        <w:rPr>
          <w:rStyle w:val="apple-converted-space"/>
          <w:rFonts w:ascii="Times New Roman" w:hAnsi="Times New Roman" w:cs="Times New Roman"/>
          <w:sz w:val="28"/>
          <w:szCs w:val="28"/>
          <w:lang w:val="en-US"/>
        </w:rPr>
        <w:t> </w:t>
      </w:r>
      <w:hyperlink r:id="rId59" w:tooltip="Iraq war" w:history="1">
        <w:r w:rsidRPr="0068182D">
          <w:rPr>
            <w:rStyle w:val="a5"/>
            <w:rFonts w:ascii="Times New Roman" w:hAnsi="Times New Roman" w:cs="Times New Roman"/>
            <w:color w:val="auto"/>
            <w:sz w:val="28"/>
            <w:szCs w:val="28"/>
            <w:u w:val="none"/>
            <w:lang w:val="en-US"/>
          </w:rPr>
          <w:t>Iraq</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and</w:t>
      </w:r>
      <w:r w:rsidRPr="0068182D">
        <w:rPr>
          <w:rStyle w:val="apple-converted-space"/>
          <w:rFonts w:ascii="Times New Roman" w:hAnsi="Times New Roman" w:cs="Times New Roman"/>
          <w:sz w:val="28"/>
          <w:szCs w:val="28"/>
          <w:lang w:val="en-US"/>
        </w:rPr>
        <w:t> </w:t>
      </w:r>
      <w:hyperlink r:id="rId60" w:tooltip="War in Afghanistan (2001–present)" w:history="1">
        <w:r w:rsidRPr="0068182D">
          <w:rPr>
            <w:rStyle w:val="a5"/>
            <w:rFonts w:ascii="Times New Roman" w:hAnsi="Times New Roman" w:cs="Times New Roman"/>
            <w:color w:val="auto"/>
            <w:sz w:val="28"/>
            <w:szCs w:val="28"/>
            <w:u w:val="none"/>
            <w:lang w:val="en-US"/>
          </w:rPr>
          <w:t>Afghanistan</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so far.</w:t>
      </w:r>
    </w:p>
    <w:p w:rsidR="004379E3" w:rsidRPr="0068182D" w:rsidRDefault="004379E3" w:rsidP="00C40532">
      <w:pPr>
        <w:spacing w:after="0" w:line="240" w:lineRule="auto"/>
        <w:ind w:firstLine="708"/>
        <w:jc w:val="both"/>
        <w:rPr>
          <w:rFonts w:ascii="Times New Roman" w:hAnsi="Times New Roman" w:cs="Times New Roman"/>
          <w:b/>
          <w:sz w:val="28"/>
          <w:szCs w:val="28"/>
          <w:lang w:val="en-US"/>
        </w:rPr>
      </w:pPr>
      <w:r w:rsidRPr="0068182D">
        <w:rPr>
          <w:rFonts w:ascii="Times New Roman" w:hAnsi="Times New Roman" w:cs="Times New Roman"/>
          <w:sz w:val="28"/>
          <w:szCs w:val="28"/>
          <w:lang w:val="en-US"/>
        </w:rPr>
        <w:t>Budget resolutions and appropriations bills, which reflect spending priorities of Congress, will usually differ from funding levels in the president's budget. The president, however, retains substantial influence over the budget process through veto power and through congressional allies when the president's party has a majority in Congress.</w:t>
      </w:r>
    </w:p>
    <w:p w:rsidR="004379E3" w:rsidRPr="0068182D" w:rsidRDefault="004379E3" w:rsidP="00C40532">
      <w:pPr>
        <w:spacing w:after="0" w:line="240" w:lineRule="auto"/>
        <w:jc w:val="both"/>
        <w:rPr>
          <w:rFonts w:ascii="Times New Roman" w:hAnsi="Times New Roman" w:cs="Times New Roman"/>
          <w:b/>
          <w:sz w:val="28"/>
          <w:szCs w:val="28"/>
          <w:lang w:val="en-US"/>
        </w:rPr>
      </w:pPr>
    </w:p>
    <w:p w:rsidR="004379E3" w:rsidRPr="0068182D" w:rsidRDefault="004379E3" w:rsidP="00C40532">
      <w:pPr>
        <w:pStyle w:val="2"/>
        <w:pBdr>
          <w:bottom w:val="single" w:sz="6" w:space="0" w:color="A2A9B1"/>
        </w:pBdr>
        <w:shd w:val="clear" w:color="auto" w:fill="FFFFFF"/>
        <w:spacing w:before="0" w:beforeAutospacing="0" w:after="0" w:afterAutospacing="0"/>
        <w:ind w:firstLine="708"/>
        <w:jc w:val="both"/>
        <w:rPr>
          <w:sz w:val="28"/>
          <w:szCs w:val="28"/>
          <w:lang w:val="en-US"/>
        </w:rPr>
      </w:pPr>
      <w:r w:rsidRPr="0068182D">
        <w:rPr>
          <w:rStyle w:val="hps"/>
          <w:sz w:val="28"/>
          <w:szCs w:val="28"/>
          <w:lang w:val="en-US"/>
        </w:rPr>
        <w:t>4. The federal budget</w:t>
      </w:r>
      <w:r w:rsidRPr="0068182D">
        <w:rPr>
          <w:sz w:val="28"/>
          <w:szCs w:val="28"/>
          <w:lang w:val="en-US"/>
        </w:rPr>
        <w:t>.</w:t>
      </w:r>
    </w:p>
    <w:p w:rsidR="004379E3" w:rsidRPr="0068182D" w:rsidRDefault="004379E3" w:rsidP="00C40532">
      <w:pPr>
        <w:pStyle w:val="2"/>
        <w:pBdr>
          <w:bottom w:val="single" w:sz="6" w:space="0" w:color="A2A9B1"/>
        </w:pBdr>
        <w:shd w:val="clear" w:color="auto" w:fill="FFFFFF"/>
        <w:spacing w:before="0" w:beforeAutospacing="0" w:after="0" w:afterAutospacing="0"/>
        <w:ind w:left="708"/>
        <w:jc w:val="both"/>
        <w:rPr>
          <w:bCs w:val="0"/>
          <w:color w:val="000000"/>
          <w:sz w:val="28"/>
          <w:szCs w:val="28"/>
          <w:lang w:val="en-US"/>
        </w:rPr>
      </w:pPr>
      <w:r w:rsidRPr="0068182D">
        <w:rPr>
          <w:sz w:val="28"/>
          <w:szCs w:val="28"/>
          <w:lang w:val="en-US"/>
        </w:rPr>
        <w:br/>
      </w:r>
      <w:r w:rsidRPr="0068182D">
        <w:rPr>
          <w:rStyle w:val="mw-headline"/>
          <w:bCs w:val="0"/>
          <w:color w:val="000000"/>
          <w:sz w:val="28"/>
          <w:szCs w:val="28"/>
          <w:lang w:val="en-US"/>
        </w:rPr>
        <w:t>Total revenues and spending</w:t>
      </w:r>
    </w:p>
    <w:p w:rsidR="004379E3" w:rsidRPr="0068182D" w:rsidRDefault="004379E3" w:rsidP="00C40532">
      <w:pPr>
        <w:pStyle w:val="3"/>
        <w:shd w:val="clear" w:color="auto" w:fill="FFFFFF"/>
        <w:spacing w:before="0" w:line="240" w:lineRule="auto"/>
        <w:jc w:val="both"/>
        <w:rPr>
          <w:rFonts w:ascii="Times New Roman" w:hAnsi="Times New Roman" w:cs="Times New Roman"/>
          <w:color w:val="000000"/>
          <w:sz w:val="28"/>
          <w:szCs w:val="28"/>
          <w:lang w:val="en-US"/>
        </w:rPr>
      </w:pPr>
      <w:r w:rsidRPr="0068182D">
        <w:rPr>
          <w:rStyle w:val="mw-headline"/>
          <w:rFonts w:ascii="Times New Roman" w:hAnsi="Times New Roman" w:cs="Times New Roman"/>
          <w:color w:val="000000"/>
          <w:sz w:val="28"/>
          <w:szCs w:val="28"/>
          <w:lang w:val="en-US"/>
        </w:rPr>
        <w:t>Receipts</w:t>
      </w:r>
    </w:p>
    <w:p w:rsidR="004379E3" w:rsidRPr="0068182D" w:rsidRDefault="004379E3" w:rsidP="00C40532">
      <w:pPr>
        <w:pStyle w:val="a6"/>
        <w:shd w:val="clear" w:color="auto" w:fill="FFFFFF"/>
        <w:spacing w:before="0" w:beforeAutospacing="0" w:after="0" w:afterAutospacing="0"/>
        <w:jc w:val="both"/>
        <w:rPr>
          <w:color w:val="252525"/>
          <w:sz w:val="28"/>
          <w:szCs w:val="28"/>
          <w:lang w:val="en-US"/>
        </w:rPr>
      </w:pPr>
      <w:r w:rsidRPr="0068182D">
        <w:rPr>
          <w:i/>
          <w:iCs/>
          <w:color w:val="252525"/>
          <w:sz w:val="28"/>
          <w:szCs w:val="28"/>
          <w:lang w:val="en-US"/>
        </w:rPr>
        <w:t>(In billions of dollars)</w:t>
      </w:r>
      <w:r w:rsidRPr="0068182D">
        <w:rPr>
          <w:color w:val="252525"/>
          <w:sz w:val="28"/>
          <w:szCs w:val="28"/>
          <w:lang w:val="en-US"/>
        </w:rPr>
        <w:t>:</w:t>
      </w:r>
    </w:p>
    <w:tbl>
      <w:tblPr>
        <w:tblW w:w="0" w:type="auto"/>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5681"/>
        <w:gridCol w:w="1714"/>
        <w:gridCol w:w="1449"/>
        <w:gridCol w:w="1263"/>
      </w:tblGrid>
      <w:tr w:rsidR="004379E3" w:rsidRPr="0068182D" w:rsidTr="00BE3110">
        <w:trPr>
          <w:tblHeader/>
        </w:trPr>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379E3" w:rsidRPr="0068182D" w:rsidRDefault="004379E3" w:rsidP="00C40532">
            <w:pPr>
              <w:spacing w:after="0" w:line="240" w:lineRule="auto"/>
              <w:jc w:val="both"/>
              <w:rPr>
                <w:rFonts w:ascii="Times New Roman" w:hAnsi="Times New Roman" w:cs="Times New Roman"/>
                <w:b/>
                <w:bCs/>
                <w:color w:val="000000"/>
                <w:sz w:val="28"/>
                <w:szCs w:val="28"/>
                <w:lang w:val="en-US"/>
              </w:rPr>
            </w:pPr>
            <w:r w:rsidRPr="0068182D">
              <w:rPr>
                <w:rFonts w:ascii="Times New Roman" w:hAnsi="Times New Roman" w:cs="Times New Roman"/>
                <w:b/>
                <w:bCs/>
                <w:color w:val="000000"/>
                <w:sz w:val="28"/>
                <w:szCs w:val="28"/>
                <w:lang w:val="en-US"/>
              </w:rPr>
              <w:t>Source</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379E3" w:rsidRPr="0068182D" w:rsidRDefault="004379E3" w:rsidP="00C40532">
            <w:pPr>
              <w:spacing w:after="0" w:line="240" w:lineRule="auto"/>
              <w:jc w:val="both"/>
              <w:rPr>
                <w:rFonts w:ascii="Times New Roman" w:hAnsi="Times New Roman" w:cs="Times New Roman"/>
                <w:b/>
                <w:bCs/>
                <w:color w:val="000000"/>
                <w:sz w:val="28"/>
                <w:szCs w:val="28"/>
                <w:lang w:val="en-US"/>
              </w:rPr>
            </w:pPr>
            <w:r w:rsidRPr="0068182D">
              <w:rPr>
                <w:rFonts w:ascii="Times New Roman" w:hAnsi="Times New Roman" w:cs="Times New Roman"/>
                <w:b/>
                <w:bCs/>
                <w:color w:val="000000"/>
                <w:sz w:val="28"/>
                <w:szCs w:val="28"/>
                <w:lang w:val="en-US"/>
              </w:rPr>
              <w:t>Requested</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379E3" w:rsidRPr="0068182D" w:rsidRDefault="004379E3" w:rsidP="00C40532">
            <w:pPr>
              <w:spacing w:after="0" w:line="240" w:lineRule="auto"/>
              <w:jc w:val="both"/>
              <w:rPr>
                <w:rFonts w:ascii="Times New Roman" w:hAnsi="Times New Roman" w:cs="Times New Roman"/>
                <w:b/>
                <w:bCs/>
                <w:color w:val="000000"/>
                <w:sz w:val="28"/>
                <w:szCs w:val="28"/>
                <w:lang w:val="en-US"/>
              </w:rPr>
            </w:pPr>
            <w:r w:rsidRPr="0068182D">
              <w:rPr>
                <w:rFonts w:ascii="Times New Roman" w:hAnsi="Times New Roman" w:cs="Times New Roman"/>
                <w:b/>
                <w:bCs/>
                <w:color w:val="000000"/>
                <w:sz w:val="28"/>
                <w:szCs w:val="28"/>
                <w:lang w:val="en-US"/>
              </w:rPr>
              <w:t>Enacted</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379E3" w:rsidRPr="0068182D" w:rsidRDefault="004379E3" w:rsidP="00C40532">
            <w:pPr>
              <w:spacing w:after="0" w:line="240" w:lineRule="auto"/>
              <w:jc w:val="both"/>
              <w:rPr>
                <w:rFonts w:ascii="Times New Roman" w:hAnsi="Times New Roman" w:cs="Times New Roman"/>
                <w:b/>
                <w:bCs/>
                <w:color w:val="000000"/>
                <w:sz w:val="28"/>
                <w:szCs w:val="28"/>
                <w:lang w:val="en-US"/>
              </w:rPr>
            </w:pPr>
            <w:r w:rsidRPr="0068182D">
              <w:rPr>
                <w:rFonts w:ascii="Times New Roman" w:hAnsi="Times New Roman" w:cs="Times New Roman"/>
                <w:b/>
                <w:bCs/>
                <w:color w:val="000000"/>
                <w:sz w:val="28"/>
                <w:szCs w:val="28"/>
                <w:lang w:val="en-US"/>
              </w:rPr>
              <w:t>Actual</w:t>
            </w:r>
          </w:p>
        </w:tc>
      </w:tr>
      <w:tr w:rsidR="004379E3" w:rsidRPr="0068182D" w:rsidTr="00BE3110">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CD577A" w:rsidP="00C40532">
            <w:pPr>
              <w:spacing w:after="0" w:line="240" w:lineRule="auto"/>
              <w:jc w:val="both"/>
              <w:rPr>
                <w:rFonts w:ascii="Times New Roman" w:hAnsi="Times New Roman" w:cs="Times New Roman"/>
                <w:color w:val="000000"/>
                <w:sz w:val="28"/>
                <w:szCs w:val="28"/>
              </w:rPr>
            </w:pPr>
            <w:hyperlink r:id="rId61" w:tooltip="Income tax in the United States" w:history="1">
              <w:r w:rsidR="004379E3" w:rsidRPr="0068182D">
                <w:rPr>
                  <w:rStyle w:val="a5"/>
                  <w:rFonts w:ascii="Times New Roman" w:hAnsi="Times New Roman" w:cs="Times New Roman"/>
                  <w:color w:val="0B0080"/>
                  <w:sz w:val="28"/>
                  <w:szCs w:val="28"/>
                </w:rPr>
                <w:t>Individual income tax</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1,534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1,478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1,540</w:t>
            </w:r>
          </w:p>
        </w:tc>
      </w:tr>
      <w:tr w:rsidR="004379E3" w:rsidRPr="0068182D" w:rsidTr="00BE3110">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CD577A" w:rsidP="00C40532">
            <w:pPr>
              <w:spacing w:after="0" w:line="240" w:lineRule="auto"/>
              <w:jc w:val="both"/>
              <w:rPr>
                <w:rFonts w:ascii="Times New Roman" w:hAnsi="Times New Roman" w:cs="Times New Roman"/>
                <w:color w:val="000000"/>
                <w:sz w:val="28"/>
                <w:szCs w:val="28"/>
              </w:rPr>
            </w:pPr>
            <w:hyperlink r:id="rId62" w:tooltip="Corporate tax in the United States" w:history="1">
              <w:r w:rsidR="004379E3" w:rsidRPr="0068182D">
                <w:rPr>
                  <w:rStyle w:val="a5"/>
                  <w:rFonts w:ascii="Times New Roman" w:hAnsi="Times New Roman" w:cs="Times New Roman"/>
                  <w:color w:val="0B0080"/>
                  <w:sz w:val="28"/>
                  <w:szCs w:val="28"/>
                </w:rPr>
                <w:t>Corporate income tax</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449</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342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344</w:t>
            </w:r>
          </w:p>
        </w:tc>
      </w:tr>
      <w:tr w:rsidR="004379E3" w:rsidRPr="0068182D" w:rsidTr="00BE3110">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CD577A" w:rsidP="00C40532">
            <w:pPr>
              <w:spacing w:after="0" w:line="240" w:lineRule="auto"/>
              <w:jc w:val="both"/>
              <w:rPr>
                <w:rFonts w:ascii="Times New Roman" w:hAnsi="Times New Roman" w:cs="Times New Roman"/>
                <w:color w:val="000000"/>
                <w:sz w:val="28"/>
                <w:szCs w:val="28"/>
                <w:lang w:val="en-US"/>
              </w:rPr>
            </w:pPr>
            <w:hyperlink r:id="rId63" w:tooltip="Social Security (United States)" w:history="1">
              <w:r w:rsidR="004379E3" w:rsidRPr="0068182D">
                <w:rPr>
                  <w:rStyle w:val="a5"/>
                  <w:rFonts w:ascii="Times New Roman" w:hAnsi="Times New Roman" w:cs="Times New Roman"/>
                  <w:color w:val="0B0080"/>
                  <w:sz w:val="28"/>
                  <w:szCs w:val="28"/>
                  <w:lang w:val="en-US"/>
                </w:rPr>
                <w:t>Social Security</w:t>
              </w:r>
            </w:hyperlink>
            <w:r w:rsidR="004379E3" w:rsidRPr="0068182D">
              <w:rPr>
                <w:rStyle w:val="apple-converted-space"/>
                <w:rFonts w:ascii="Times New Roman" w:hAnsi="Times New Roman" w:cs="Times New Roman"/>
                <w:color w:val="000000"/>
                <w:sz w:val="28"/>
                <w:szCs w:val="28"/>
                <w:lang w:val="en-US"/>
              </w:rPr>
              <w:t> </w:t>
            </w:r>
            <w:r w:rsidR="004379E3" w:rsidRPr="0068182D">
              <w:rPr>
                <w:rFonts w:ascii="Times New Roman" w:hAnsi="Times New Roman" w:cs="Times New Roman"/>
                <w:color w:val="000000"/>
                <w:sz w:val="28"/>
                <w:szCs w:val="28"/>
                <w:lang w:val="en-US"/>
              </w:rPr>
              <w:t>and other</w:t>
            </w:r>
            <w:r w:rsidR="004379E3" w:rsidRPr="0068182D">
              <w:rPr>
                <w:rStyle w:val="apple-converted-space"/>
                <w:rFonts w:ascii="Times New Roman" w:hAnsi="Times New Roman" w:cs="Times New Roman"/>
                <w:color w:val="000000"/>
                <w:sz w:val="28"/>
                <w:szCs w:val="28"/>
                <w:lang w:val="en-US"/>
              </w:rPr>
              <w:t> </w:t>
            </w:r>
            <w:hyperlink r:id="rId64" w:tooltip="Payroll tax" w:history="1">
              <w:r w:rsidR="004379E3" w:rsidRPr="0068182D">
                <w:rPr>
                  <w:rStyle w:val="a5"/>
                  <w:rFonts w:ascii="Times New Roman" w:hAnsi="Times New Roman" w:cs="Times New Roman"/>
                  <w:color w:val="0B0080"/>
                  <w:sz w:val="28"/>
                  <w:szCs w:val="28"/>
                  <w:lang w:val="en-US"/>
                </w:rPr>
                <w:t>payroll tax</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1,056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1,065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1,065</w:t>
            </w:r>
          </w:p>
        </w:tc>
      </w:tr>
      <w:tr w:rsidR="004379E3" w:rsidRPr="0068182D" w:rsidTr="00BE3110">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CD577A" w:rsidP="00C40532">
            <w:pPr>
              <w:spacing w:after="0" w:line="240" w:lineRule="auto"/>
              <w:jc w:val="both"/>
              <w:rPr>
                <w:rFonts w:ascii="Times New Roman" w:hAnsi="Times New Roman" w:cs="Times New Roman"/>
                <w:color w:val="000000"/>
                <w:sz w:val="28"/>
                <w:szCs w:val="28"/>
              </w:rPr>
            </w:pPr>
            <w:hyperlink r:id="rId65" w:tooltip="Excise tax in the United States" w:history="1">
              <w:r w:rsidR="004379E3" w:rsidRPr="0068182D">
                <w:rPr>
                  <w:rStyle w:val="a5"/>
                  <w:rFonts w:ascii="Times New Roman" w:hAnsi="Times New Roman" w:cs="Times New Roman"/>
                  <w:color w:val="0B0080"/>
                  <w:sz w:val="28"/>
                  <w:szCs w:val="28"/>
                </w:rPr>
                <w:t>Excise tax</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111</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98</w:t>
            </w:r>
          </w:p>
        </w:tc>
      </w:tr>
      <w:tr w:rsidR="004379E3" w:rsidRPr="0068182D" w:rsidTr="00BE3110">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CD577A" w:rsidP="00C40532">
            <w:pPr>
              <w:spacing w:after="0" w:line="240" w:lineRule="auto"/>
              <w:jc w:val="both"/>
              <w:rPr>
                <w:rFonts w:ascii="Times New Roman" w:hAnsi="Times New Roman" w:cs="Times New Roman"/>
                <w:color w:val="000000"/>
                <w:sz w:val="28"/>
                <w:szCs w:val="28"/>
              </w:rPr>
            </w:pPr>
            <w:hyperlink r:id="rId66" w:tooltip="Customs" w:history="1">
              <w:r w:rsidR="004379E3" w:rsidRPr="0068182D">
                <w:rPr>
                  <w:rStyle w:val="a5"/>
                  <w:rFonts w:ascii="Times New Roman" w:hAnsi="Times New Roman" w:cs="Times New Roman"/>
                  <w:color w:val="0B0080"/>
                  <w:sz w:val="28"/>
                  <w:szCs w:val="28"/>
                </w:rPr>
                <w:t>Customs</w:t>
              </w:r>
            </w:hyperlink>
            <w:r w:rsidR="004379E3" w:rsidRPr="0068182D">
              <w:rPr>
                <w:rStyle w:val="apple-converted-space"/>
                <w:rFonts w:ascii="Times New Roman" w:hAnsi="Times New Roman" w:cs="Times New Roman"/>
                <w:color w:val="000000"/>
                <w:sz w:val="28"/>
                <w:szCs w:val="28"/>
              </w:rPr>
              <w:t> </w:t>
            </w:r>
            <w:hyperlink r:id="rId67" w:tooltip="Duty (economics)" w:history="1">
              <w:r w:rsidR="004379E3" w:rsidRPr="0068182D">
                <w:rPr>
                  <w:rStyle w:val="a5"/>
                  <w:rFonts w:ascii="Times New Roman" w:hAnsi="Times New Roman" w:cs="Times New Roman"/>
                  <w:color w:val="0B0080"/>
                  <w:sz w:val="28"/>
                  <w:szCs w:val="28"/>
                </w:rPr>
                <w:t>duties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35</w:t>
            </w:r>
          </w:p>
        </w:tc>
      </w:tr>
      <w:tr w:rsidR="004379E3" w:rsidRPr="0068182D" w:rsidTr="00BE3110">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CD577A" w:rsidP="00C40532">
            <w:pPr>
              <w:spacing w:after="0" w:line="240" w:lineRule="auto"/>
              <w:jc w:val="both"/>
              <w:rPr>
                <w:rFonts w:ascii="Times New Roman" w:hAnsi="Times New Roman" w:cs="Times New Roman"/>
                <w:color w:val="000000"/>
                <w:sz w:val="28"/>
                <w:szCs w:val="28"/>
              </w:rPr>
            </w:pPr>
            <w:hyperlink r:id="rId68" w:tooltip="Inheritance tax" w:history="1">
              <w:r w:rsidR="004379E3" w:rsidRPr="0068182D">
                <w:rPr>
                  <w:rStyle w:val="a5"/>
                  <w:rFonts w:ascii="Times New Roman" w:hAnsi="Times New Roman" w:cs="Times New Roman"/>
                  <w:color w:val="0B0080"/>
                  <w:sz w:val="28"/>
                  <w:szCs w:val="28"/>
                </w:rPr>
                <w:t>Estate</w:t>
              </w:r>
            </w:hyperlink>
            <w:r w:rsidR="004379E3" w:rsidRPr="0068182D">
              <w:rPr>
                <w:rStyle w:val="apple-converted-space"/>
                <w:rFonts w:ascii="Times New Roman" w:hAnsi="Times New Roman" w:cs="Times New Roman"/>
                <w:color w:val="000000"/>
                <w:sz w:val="28"/>
                <w:szCs w:val="28"/>
              </w:rPr>
              <w:t> </w:t>
            </w:r>
            <w:r w:rsidR="004379E3" w:rsidRPr="0068182D">
              <w:rPr>
                <w:rFonts w:ascii="Times New Roman" w:hAnsi="Times New Roman" w:cs="Times New Roman"/>
                <w:color w:val="000000"/>
                <w:sz w:val="28"/>
                <w:szCs w:val="28"/>
              </w:rPr>
              <w:t>and</w:t>
            </w:r>
            <w:r w:rsidR="004379E3" w:rsidRPr="0068182D">
              <w:rPr>
                <w:rStyle w:val="apple-converted-space"/>
                <w:rFonts w:ascii="Times New Roman" w:hAnsi="Times New Roman" w:cs="Times New Roman"/>
                <w:color w:val="000000"/>
                <w:sz w:val="28"/>
                <w:szCs w:val="28"/>
              </w:rPr>
              <w:t> </w:t>
            </w:r>
            <w:hyperlink r:id="rId69" w:tooltip="Gift tax" w:history="1">
              <w:r w:rsidR="004379E3" w:rsidRPr="0068182D">
                <w:rPr>
                  <w:rStyle w:val="a5"/>
                  <w:rFonts w:ascii="Times New Roman" w:hAnsi="Times New Roman" w:cs="Times New Roman"/>
                  <w:color w:val="0B0080"/>
                  <w:sz w:val="28"/>
                  <w:szCs w:val="28"/>
                </w:rPr>
                <w:t>gift taxes</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20</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19</w:t>
            </w:r>
          </w:p>
        </w:tc>
      </w:tr>
      <w:tr w:rsidR="004379E3" w:rsidRPr="0068182D" w:rsidTr="00BE3110">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lang w:val="en-US"/>
              </w:rPr>
            </w:pPr>
            <w:r w:rsidRPr="0068182D">
              <w:rPr>
                <w:rFonts w:ascii="Times New Roman" w:hAnsi="Times New Roman" w:cs="Times New Roman"/>
                <w:color w:val="000000"/>
                <w:sz w:val="28"/>
                <w:szCs w:val="28"/>
                <w:lang w:val="en-US"/>
              </w:rPr>
              <w:t>Deposits of earnings and</w:t>
            </w:r>
            <w:r w:rsidRPr="0068182D">
              <w:rPr>
                <w:rStyle w:val="apple-converted-space"/>
                <w:rFonts w:ascii="Times New Roman" w:hAnsi="Times New Roman" w:cs="Times New Roman"/>
                <w:color w:val="000000"/>
                <w:sz w:val="28"/>
                <w:szCs w:val="28"/>
                <w:lang w:val="en-US"/>
              </w:rPr>
              <w:t> </w:t>
            </w:r>
            <w:hyperlink r:id="rId70" w:tooltip="Federal Reserve System" w:history="1">
              <w:r w:rsidRPr="0068182D">
                <w:rPr>
                  <w:rStyle w:val="a5"/>
                  <w:rFonts w:ascii="Times New Roman" w:hAnsi="Times New Roman" w:cs="Times New Roman"/>
                  <w:color w:val="0B0080"/>
                  <w:sz w:val="28"/>
                  <w:szCs w:val="28"/>
                  <w:lang w:val="en-US"/>
                </w:rPr>
                <w:t>Federal Reserve System</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88</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94</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96</w:t>
            </w:r>
          </w:p>
        </w:tc>
      </w:tr>
      <w:tr w:rsidR="004379E3" w:rsidRPr="0068182D" w:rsidTr="00BE3110">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Allowance for immigration reform</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w:t>
            </w:r>
          </w:p>
        </w:tc>
      </w:tr>
      <w:tr w:rsidR="004379E3" w:rsidRPr="0068182D" w:rsidTr="00BE3110">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Other miscellaneous receipts</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43</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45</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50</w:t>
            </w:r>
          </w:p>
        </w:tc>
      </w:tr>
      <w:tr w:rsidR="004379E3" w:rsidRPr="0068182D" w:rsidTr="00BE3110">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b/>
                <w:bCs/>
                <w:color w:val="000000"/>
                <w:sz w:val="28"/>
                <w:szCs w:val="28"/>
              </w:rPr>
              <w:t>Total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b/>
                <w:bCs/>
                <w:color w:val="000000"/>
                <w:sz w:val="28"/>
                <w:szCs w:val="28"/>
              </w:rPr>
              <w:t>3,337</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b/>
                <w:bCs/>
                <w:color w:val="000000"/>
                <w:sz w:val="28"/>
                <w:szCs w:val="28"/>
              </w:rPr>
              <w:t>3,176</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b/>
                <w:bCs/>
                <w:color w:val="000000"/>
                <w:sz w:val="28"/>
                <w:szCs w:val="28"/>
              </w:rPr>
              <w:t>3,249</w:t>
            </w:r>
          </w:p>
        </w:tc>
      </w:tr>
    </w:tbl>
    <w:p w:rsidR="004379E3" w:rsidRPr="0068182D" w:rsidRDefault="004379E3" w:rsidP="00C40532">
      <w:pPr>
        <w:pStyle w:val="3"/>
        <w:shd w:val="clear" w:color="auto" w:fill="FFFFFF"/>
        <w:spacing w:before="0" w:line="240" w:lineRule="auto"/>
        <w:jc w:val="both"/>
        <w:rPr>
          <w:rStyle w:val="mw-headline"/>
          <w:rFonts w:ascii="Times New Roman" w:hAnsi="Times New Roman" w:cs="Times New Roman"/>
          <w:color w:val="000000"/>
          <w:sz w:val="28"/>
          <w:szCs w:val="28"/>
        </w:rPr>
      </w:pPr>
    </w:p>
    <w:p w:rsidR="004379E3" w:rsidRPr="0068182D" w:rsidRDefault="004379E3" w:rsidP="00C40532">
      <w:pPr>
        <w:pStyle w:val="3"/>
        <w:shd w:val="clear" w:color="auto" w:fill="FFFFFF"/>
        <w:spacing w:before="0" w:line="240" w:lineRule="auto"/>
        <w:jc w:val="both"/>
        <w:rPr>
          <w:rFonts w:ascii="Times New Roman" w:hAnsi="Times New Roman" w:cs="Times New Roman"/>
          <w:color w:val="000000"/>
          <w:sz w:val="28"/>
          <w:szCs w:val="28"/>
        </w:rPr>
      </w:pPr>
      <w:r w:rsidRPr="0068182D">
        <w:rPr>
          <w:rStyle w:val="mw-headline"/>
          <w:rFonts w:ascii="Times New Roman" w:hAnsi="Times New Roman" w:cs="Times New Roman"/>
          <w:color w:val="000000"/>
          <w:sz w:val="28"/>
          <w:szCs w:val="28"/>
          <w:lang w:val="en-US"/>
        </w:rPr>
        <w:t>Outlays by budget function</w:t>
      </w:r>
    </w:p>
    <w:p w:rsidR="004379E3" w:rsidRPr="0068182D" w:rsidRDefault="004379E3" w:rsidP="00C40532">
      <w:pPr>
        <w:pStyle w:val="a6"/>
        <w:shd w:val="clear" w:color="auto" w:fill="FFFFFF"/>
        <w:spacing w:before="0" w:beforeAutospacing="0" w:after="0" w:afterAutospacing="0"/>
        <w:jc w:val="both"/>
        <w:rPr>
          <w:color w:val="252525"/>
          <w:sz w:val="28"/>
          <w:szCs w:val="28"/>
          <w:lang w:val="en-US"/>
        </w:rPr>
      </w:pPr>
      <w:r w:rsidRPr="0068182D">
        <w:rPr>
          <w:color w:val="252525"/>
          <w:sz w:val="28"/>
          <w:szCs w:val="28"/>
          <w:lang w:val="en-US"/>
        </w:rPr>
        <w:t>These tables are in billions of dollars. A green cell represents an increase in spending, while a red one indicates a decrease in spending. Outlays represent funds actually spent in a year; budget authority includes spending authorized for this and future years.</w:t>
      </w:r>
    </w:p>
    <w:tbl>
      <w:tblPr>
        <w:tblW w:w="0" w:type="auto"/>
        <w:tblBorders>
          <w:top w:val="single" w:sz="6" w:space="0" w:color="A2A9B1"/>
          <w:left w:val="single" w:sz="6" w:space="0" w:color="A2A9B1"/>
          <w:bottom w:val="single" w:sz="6" w:space="0" w:color="A2A9B1"/>
          <w:right w:val="single" w:sz="6" w:space="0" w:color="A2A9B1"/>
        </w:tblBorders>
        <w:shd w:val="clear" w:color="auto" w:fill="F8F9FA"/>
        <w:tblLayout w:type="fixed"/>
        <w:tblCellMar>
          <w:top w:w="15" w:type="dxa"/>
          <w:left w:w="15" w:type="dxa"/>
          <w:bottom w:w="15" w:type="dxa"/>
          <w:right w:w="15" w:type="dxa"/>
        </w:tblCellMar>
        <w:tblLook w:val="04A0"/>
      </w:tblPr>
      <w:tblGrid>
        <w:gridCol w:w="1390"/>
        <w:gridCol w:w="2817"/>
        <w:gridCol w:w="1688"/>
        <w:gridCol w:w="2128"/>
        <w:gridCol w:w="1712"/>
      </w:tblGrid>
      <w:tr w:rsidR="004379E3" w:rsidRPr="0068182D" w:rsidTr="00BE3110">
        <w:trPr>
          <w:tblHeader/>
        </w:trPr>
        <w:tc>
          <w:tcPr>
            <w:tcW w:w="1390"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379E3" w:rsidRPr="0068182D" w:rsidRDefault="004379E3" w:rsidP="00C40532">
            <w:pPr>
              <w:pStyle w:val="a6"/>
              <w:spacing w:before="0" w:beforeAutospacing="0" w:after="0" w:afterAutospacing="0"/>
              <w:jc w:val="both"/>
              <w:rPr>
                <w:b/>
                <w:bCs/>
                <w:color w:val="000000"/>
                <w:sz w:val="28"/>
                <w:szCs w:val="28"/>
              </w:rPr>
            </w:pPr>
            <w:r w:rsidRPr="0068182D">
              <w:rPr>
                <w:b/>
                <w:bCs/>
                <w:color w:val="000000"/>
                <w:sz w:val="28"/>
                <w:szCs w:val="28"/>
              </w:rPr>
              <w:t>Function</w:t>
            </w:r>
          </w:p>
        </w:tc>
        <w:tc>
          <w:tcPr>
            <w:tcW w:w="2817"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379E3" w:rsidRPr="0068182D" w:rsidRDefault="004379E3" w:rsidP="00C40532">
            <w:pPr>
              <w:pStyle w:val="a6"/>
              <w:spacing w:before="0" w:beforeAutospacing="0" w:after="0" w:afterAutospacing="0"/>
              <w:jc w:val="both"/>
              <w:rPr>
                <w:b/>
                <w:bCs/>
                <w:color w:val="000000"/>
                <w:sz w:val="28"/>
                <w:szCs w:val="28"/>
              </w:rPr>
            </w:pPr>
            <w:r w:rsidRPr="0068182D">
              <w:rPr>
                <w:b/>
                <w:bCs/>
                <w:color w:val="000000"/>
                <w:sz w:val="28"/>
                <w:szCs w:val="28"/>
              </w:rPr>
              <w:t>Title</w:t>
            </w:r>
          </w:p>
        </w:tc>
        <w:tc>
          <w:tcPr>
            <w:tcW w:w="1688"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379E3" w:rsidRPr="0068182D" w:rsidRDefault="004379E3" w:rsidP="00C40532">
            <w:pPr>
              <w:pStyle w:val="a6"/>
              <w:spacing w:before="0" w:beforeAutospacing="0" w:after="0" w:afterAutospacing="0"/>
              <w:jc w:val="both"/>
              <w:rPr>
                <w:b/>
                <w:bCs/>
                <w:color w:val="000000"/>
                <w:sz w:val="28"/>
                <w:szCs w:val="28"/>
              </w:rPr>
            </w:pPr>
            <w:r w:rsidRPr="0068182D">
              <w:rPr>
                <w:b/>
                <w:bCs/>
                <w:color w:val="000000"/>
                <w:sz w:val="28"/>
                <w:szCs w:val="28"/>
              </w:rPr>
              <w:t>2014 enacted</w:t>
            </w:r>
          </w:p>
        </w:tc>
        <w:tc>
          <w:tcPr>
            <w:tcW w:w="2128"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379E3" w:rsidRPr="0068182D" w:rsidRDefault="004379E3" w:rsidP="00C40532">
            <w:pPr>
              <w:pStyle w:val="a6"/>
              <w:spacing w:before="0" w:beforeAutospacing="0" w:after="0" w:afterAutospacing="0"/>
              <w:jc w:val="both"/>
              <w:rPr>
                <w:b/>
                <w:bCs/>
                <w:color w:val="000000"/>
                <w:sz w:val="28"/>
                <w:szCs w:val="28"/>
              </w:rPr>
            </w:pPr>
            <w:r w:rsidRPr="0068182D">
              <w:rPr>
                <w:b/>
                <w:bCs/>
                <w:color w:val="000000"/>
                <w:sz w:val="28"/>
                <w:szCs w:val="28"/>
              </w:rPr>
              <w:t>2015 Presidential</w:t>
            </w:r>
            <w:r w:rsidRPr="0068182D">
              <w:rPr>
                <w:b/>
                <w:bCs/>
                <w:color w:val="000000"/>
                <w:sz w:val="28"/>
                <w:szCs w:val="28"/>
              </w:rPr>
              <w:br/>
              <w:t>request</w:t>
            </w:r>
          </w:p>
        </w:tc>
        <w:tc>
          <w:tcPr>
            <w:tcW w:w="1712"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73" w:type="dxa"/>
            </w:tcMar>
            <w:vAlign w:val="center"/>
            <w:hideMark/>
          </w:tcPr>
          <w:p w:rsidR="004379E3" w:rsidRPr="0068182D" w:rsidRDefault="004379E3" w:rsidP="00C40532">
            <w:pPr>
              <w:pStyle w:val="a6"/>
              <w:spacing w:before="0" w:beforeAutospacing="0" w:after="0" w:afterAutospacing="0"/>
              <w:jc w:val="both"/>
              <w:rPr>
                <w:b/>
                <w:bCs/>
                <w:color w:val="000000"/>
                <w:sz w:val="28"/>
                <w:szCs w:val="28"/>
              </w:rPr>
            </w:pPr>
            <w:r w:rsidRPr="0068182D">
              <w:rPr>
                <w:b/>
                <w:bCs/>
                <w:color w:val="000000"/>
                <w:sz w:val="28"/>
                <w:szCs w:val="28"/>
              </w:rPr>
              <w:t>2015 Republican</w:t>
            </w:r>
            <w:r w:rsidRPr="0068182D">
              <w:rPr>
                <w:b/>
                <w:bCs/>
                <w:color w:val="000000"/>
                <w:sz w:val="28"/>
                <w:szCs w:val="28"/>
              </w:rPr>
              <w:br/>
              <w:t>proposal</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050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National Defense</w:t>
            </w:r>
          </w:p>
        </w:tc>
        <w:tc>
          <w:tcPr>
            <w:tcW w:w="1688" w:type="dxa"/>
            <w:vMerge w:val="restart"/>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620.562</w:t>
            </w:r>
          </w:p>
        </w:tc>
        <w:tc>
          <w:tcPr>
            <w:tcW w:w="2128" w:type="dxa"/>
            <w:vMerge w:val="restart"/>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631.280</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566.5</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970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Overseas Contingency Operations*</w:t>
            </w:r>
          </w:p>
        </w:tc>
        <w:tc>
          <w:tcPr>
            <w:tcW w:w="1688" w:type="dxa"/>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p>
        </w:tc>
        <w:tc>
          <w:tcPr>
            <w:tcW w:w="2128" w:type="dxa"/>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52.6</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International Affairs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48.472</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50.086</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39.0</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lang w:val="en-US"/>
              </w:rPr>
            </w:pPr>
            <w:r w:rsidRPr="0068182D">
              <w:rPr>
                <w:rFonts w:ascii="Times New Roman" w:hAnsi="Times New Roman" w:cs="Times New Roman"/>
                <w:color w:val="000000"/>
                <w:sz w:val="28"/>
                <w:szCs w:val="28"/>
                <w:lang w:val="en-US"/>
              </w:rPr>
              <w:t>General Science, Space and Technology</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28.718</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30.839</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27.9</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270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Energy</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13.375</w:t>
            </w:r>
          </w:p>
        </w:tc>
        <w:tc>
          <w:tcPr>
            <w:tcW w:w="2128"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8.620</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5.8</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Natural Resources and Environment</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39.102</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41.349</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39.3</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Agriculture</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22.659</w:t>
            </w:r>
          </w:p>
        </w:tc>
        <w:tc>
          <w:tcPr>
            <w:tcW w:w="2128"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16.953</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19.5</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370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Commerce and Housing Credit</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-82.283</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-31.430</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-15.8</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400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Transportation</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95.519</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97.825</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80.7</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450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Community and Regional Development</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33.305</w:t>
            </w:r>
          </w:p>
        </w:tc>
        <w:tc>
          <w:tcPr>
            <w:tcW w:w="2128"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28.865</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23.6</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lang w:val="en-US"/>
              </w:rPr>
            </w:pPr>
            <w:r w:rsidRPr="0068182D">
              <w:rPr>
                <w:rFonts w:ascii="Times New Roman" w:hAnsi="Times New Roman" w:cs="Times New Roman"/>
                <w:color w:val="000000"/>
                <w:sz w:val="28"/>
                <w:szCs w:val="28"/>
                <w:lang w:val="en-US"/>
              </w:rPr>
              <w:t>Education, Training, Employment and Social Services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100.460</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117.350</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91.8</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Health</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450.795</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512.193</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416.6</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570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Medicare</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519.027</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532.324</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519.4</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600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Income Security</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542.237</w:t>
            </w:r>
          </w:p>
        </w:tc>
        <w:tc>
          <w:tcPr>
            <w:tcW w:w="2128"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535.963</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505.0</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650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Social Security</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857.319</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903.196</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892.0</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700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Veterans Benefits and Services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151.165</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158.524</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153.0</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750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Administration of Justice</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53.102</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55.843</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54.3</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800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General Government</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22.407</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25.706</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23.6</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900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Net Interest</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223.450</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251.871</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267.3</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920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Allowances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1.875</w:t>
            </w:r>
          </w:p>
        </w:tc>
        <w:tc>
          <w:tcPr>
            <w:tcW w:w="2128"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29.285</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-521</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930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Government-Wide Savings**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N/A</w:t>
            </w:r>
          </w:p>
        </w:tc>
        <w:tc>
          <w:tcPr>
            <w:tcW w:w="212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N/A</w:t>
            </w:r>
          </w:p>
        </w:tc>
        <w:tc>
          <w:tcPr>
            <w:tcW w:w="1712" w:type="dxa"/>
            <w:tcBorders>
              <w:top w:val="single" w:sz="6" w:space="0" w:color="A2A9B1"/>
              <w:left w:val="single" w:sz="6" w:space="0" w:color="A2A9B1"/>
              <w:bottom w:val="single" w:sz="6" w:space="0" w:color="A2A9B1"/>
              <w:right w:val="single" w:sz="6" w:space="0" w:color="A2A9B1"/>
            </w:tcBorders>
            <w:shd w:val="clear" w:color="auto" w:fill="AAFF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20.1</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950</w:t>
            </w: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Undistributed Offsetting Receipts</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-90.740</w:t>
            </w:r>
          </w:p>
        </w:tc>
        <w:tc>
          <w:tcPr>
            <w:tcW w:w="2128"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-95.653</w:t>
            </w:r>
          </w:p>
        </w:tc>
        <w:tc>
          <w:tcPr>
            <w:tcW w:w="1712" w:type="dxa"/>
            <w:tcBorders>
              <w:top w:val="single" w:sz="6" w:space="0" w:color="A2A9B1"/>
              <w:left w:val="single" w:sz="6" w:space="0" w:color="A2A9B1"/>
              <w:bottom w:val="single" w:sz="6" w:space="0" w:color="A2A9B1"/>
              <w:right w:val="single" w:sz="6" w:space="0" w:color="A2A9B1"/>
            </w:tcBorders>
            <w:shd w:val="clear" w:color="auto" w:fill="FFAAA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-95.6</w:t>
            </w:r>
          </w:p>
        </w:tc>
      </w:tr>
      <w:tr w:rsidR="004379E3" w:rsidRPr="0068182D" w:rsidTr="00BE3110">
        <w:tc>
          <w:tcPr>
            <w:tcW w:w="1390"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p>
        </w:tc>
        <w:tc>
          <w:tcPr>
            <w:tcW w:w="2817"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b/>
                <w:bCs/>
                <w:color w:val="000000"/>
                <w:sz w:val="28"/>
                <w:szCs w:val="28"/>
              </w:rPr>
              <w:t>Total</w:t>
            </w:r>
          </w:p>
        </w:tc>
        <w:tc>
          <w:tcPr>
            <w:tcW w:w="168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b/>
                <w:bCs/>
                <w:color w:val="000000"/>
                <w:sz w:val="28"/>
                <w:szCs w:val="28"/>
              </w:rPr>
              <w:t>3650.526</w:t>
            </w:r>
          </w:p>
        </w:tc>
        <w:tc>
          <w:tcPr>
            <w:tcW w:w="212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b/>
                <w:bCs/>
                <w:color w:val="000000"/>
                <w:sz w:val="28"/>
                <w:szCs w:val="28"/>
              </w:rPr>
              <w:t>3900.989</w:t>
            </w:r>
          </w:p>
        </w:tc>
        <w:tc>
          <w:tcPr>
            <w:tcW w:w="1712"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b/>
                <w:bCs/>
                <w:color w:val="000000"/>
                <w:sz w:val="28"/>
                <w:szCs w:val="28"/>
              </w:rPr>
              <w:t>3165.6</w:t>
            </w:r>
          </w:p>
        </w:tc>
      </w:tr>
    </w:tbl>
    <w:p w:rsidR="004379E3" w:rsidRPr="0068182D" w:rsidRDefault="004379E3" w:rsidP="00C40532">
      <w:pPr>
        <w:spacing w:after="0" w:line="240" w:lineRule="auto"/>
        <w:jc w:val="both"/>
        <w:rPr>
          <w:rFonts w:ascii="Times New Roman" w:hAnsi="Times New Roman" w:cs="Times New Roman"/>
          <w:b/>
          <w:sz w:val="28"/>
          <w:szCs w:val="28"/>
        </w:rPr>
      </w:pPr>
    </w:p>
    <w:p w:rsidR="004379E3" w:rsidRPr="0068182D" w:rsidRDefault="004379E3" w:rsidP="00C40532">
      <w:pPr>
        <w:spacing w:after="0" w:line="240" w:lineRule="auto"/>
        <w:jc w:val="both"/>
        <w:rPr>
          <w:rFonts w:ascii="Times New Roman" w:hAnsi="Times New Roman" w:cs="Times New Roman"/>
          <w:b/>
          <w:sz w:val="28"/>
          <w:szCs w:val="28"/>
        </w:rPr>
      </w:pPr>
    </w:p>
    <w:p w:rsidR="004379E3" w:rsidRPr="0068182D" w:rsidRDefault="004379E3" w:rsidP="00C40532">
      <w:pPr>
        <w:spacing w:after="0" w:line="240" w:lineRule="auto"/>
        <w:ind w:firstLine="708"/>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Revenues and expenditures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local budgets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state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budget</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hAnsi="Times New Roman" w:cs="Times New Roman"/>
          <w:sz w:val="28"/>
          <w:szCs w:val="28"/>
          <w:shd w:val="clear" w:color="auto" w:fill="FFFFFF"/>
          <w:lang w:val="en-US"/>
        </w:rPr>
        <w:t>The U.S. Treasury divides all federal spending into three groups:</w:t>
      </w:r>
      <w:r w:rsidRPr="0068182D">
        <w:rPr>
          <w:rStyle w:val="apple-converted-space"/>
          <w:rFonts w:ascii="Times New Roman" w:hAnsi="Times New Roman" w:cs="Times New Roman"/>
          <w:sz w:val="28"/>
          <w:szCs w:val="28"/>
          <w:shd w:val="clear" w:color="auto" w:fill="FFFFFF"/>
          <w:lang w:val="en-US"/>
        </w:rPr>
        <w:t> </w:t>
      </w:r>
      <w:hyperlink r:id="rId71" w:anchor="mandatory-spending" w:history="1">
        <w:r w:rsidRPr="0068182D">
          <w:rPr>
            <w:rStyle w:val="a5"/>
            <w:rFonts w:ascii="Times New Roman" w:hAnsi="Times New Roman" w:cs="Times New Roman"/>
            <w:color w:val="auto"/>
            <w:sz w:val="28"/>
            <w:szCs w:val="28"/>
            <w:u w:val="none"/>
            <w:shd w:val="clear" w:color="auto" w:fill="FFFFFF"/>
            <w:lang w:val="en-US"/>
          </w:rPr>
          <w:t>mandatory spending</w:t>
        </w:r>
      </w:hyperlink>
      <w:r w:rsidRPr="0068182D">
        <w:rPr>
          <w:rFonts w:ascii="Times New Roman" w:hAnsi="Times New Roman" w:cs="Times New Roman"/>
          <w:sz w:val="28"/>
          <w:szCs w:val="28"/>
          <w:shd w:val="clear" w:color="auto" w:fill="FFFFFF"/>
          <w:lang w:val="en-US"/>
        </w:rPr>
        <w:t>,</w:t>
      </w:r>
      <w:r w:rsidRPr="0068182D">
        <w:rPr>
          <w:rStyle w:val="apple-converted-space"/>
          <w:rFonts w:ascii="Times New Roman" w:hAnsi="Times New Roman" w:cs="Times New Roman"/>
          <w:sz w:val="28"/>
          <w:szCs w:val="28"/>
          <w:shd w:val="clear" w:color="auto" w:fill="FFFFFF"/>
          <w:lang w:val="en-US"/>
        </w:rPr>
        <w:t> </w:t>
      </w:r>
      <w:hyperlink r:id="rId72" w:anchor="discretionary-spending" w:history="1">
        <w:r w:rsidRPr="0068182D">
          <w:rPr>
            <w:rStyle w:val="a5"/>
            <w:rFonts w:ascii="Times New Roman" w:hAnsi="Times New Roman" w:cs="Times New Roman"/>
            <w:color w:val="auto"/>
            <w:sz w:val="28"/>
            <w:szCs w:val="28"/>
            <w:u w:val="none"/>
            <w:shd w:val="clear" w:color="auto" w:fill="FFFFFF"/>
            <w:lang w:val="en-US"/>
          </w:rPr>
          <w:t>discretionary spending</w:t>
        </w:r>
      </w:hyperlink>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and</w:t>
      </w:r>
      <w:r w:rsidRPr="0068182D">
        <w:rPr>
          <w:rStyle w:val="apple-converted-space"/>
          <w:rFonts w:ascii="Times New Roman" w:hAnsi="Times New Roman" w:cs="Times New Roman"/>
          <w:sz w:val="28"/>
          <w:szCs w:val="28"/>
          <w:shd w:val="clear" w:color="auto" w:fill="FFFFFF"/>
          <w:lang w:val="en-US"/>
        </w:rPr>
        <w:t> </w:t>
      </w:r>
      <w:hyperlink r:id="rId73" w:anchor="interest-on-debt" w:history="1">
        <w:r w:rsidRPr="0068182D">
          <w:rPr>
            <w:rStyle w:val="a5"/>
            <w:rFonts w:ascii="Times New Roman" w:hAnsi="Times New Roman" w:cs="Times New Roman"/>
            <w:color w:val="auto"/>
            <w:sz w:val="28"/>
            <w:szCs w:val="28"/>
            <w:u w:val="none"/>
            <w:shd w:val="clear" w:color="auto" w:fill="FFFFFF"/>
            <w:lang w:val="en-US"/>
          </w:rPr>
          <w:t>interest on debt</w:t>
        </w:r>
      </w:hyperlink>
      <w:r w:rsidRPr="0068182D">
        <w:rPr>
          <w:rFonts w:ascii="Times New Roman" w:hAnsi="Times New Roman" w:cs="Times New Roman"/>
          <w:sz w:val="28"/>
          <w:szCs w:val="28"/>
          <w:shd w:val="clear" w:color="auto" w:fill="FFFFFF"/>
          <w:lang w:val="en-US"/>
        </w:rPr>
        <w:t>. Mandatory and discretionary spending account for more than ninety percent of all federal spending, and pay for all of the government services and programs on which we rely. Interest on debt, which is a much smaller amount than the other two categories, is the interest the government pays on its accumulated</w:t>
      </w:r>
      <w:r w:rsidRPr="0068182D">
        <w:rPr>
          <w:rStyle w:val="apple-converted-space"/>
          <w:rFonts w:ascii="Times New Roman" w:hAnsi="Times New Roman" w:cs="Times New Roman"/>
          <w:sz w:val="28"/>
          <w:szCs w:val="28"/>
          <w:shd w:val="clear" w:color="auto" w:fill="FFFFFF"/>
          <w:lang w:val="en-US"/>
        </w:rPr>
        <w:t> </w:t>
      </w:r>
      <w:hyperlink r:id="rId74" w:anchor="debt" w:history="1">
        <w:r w:rsidRPr="0068182D">
          <w:rPr>
            <w:rStyle w:val="a5"/>
            <w:rFonts w:ascii="Times New Roman" w:hAnsi="Times New Roman" w:cs="Times New Roman"/>
            <w:color w:val="auto"/>
            <w:sz w:val="28"/>
            <w:szCs w:val="28"/>
            <w:u w:val="none"/>
            <w:shd w:val="clear" w:color="auto" w:fill="FFFFFF"/>
            <w:lang w:val="en-US"/>
          </w:rPr>
          <w:t>debt</w:t>
        </w:r>
      </w:hyperlink>
      <w:r w:rsidRPr="0068182D">
        <w:rPr>
          <w:rFonts w:ascii="Times New Roman" w:hAnsi="Times New Roman" w:cs="Times New Roman"/>
          <w:sz w:val="28"/>
          <w:szCs w:val="28"/>
          <w:shd w:val="clear" w:color="auto" w:fill="FFFFFF"/>
          <w:lang w:val="en-US"/>
        </w:rPr>
        <w:t>, minus interest income received by the government for assets it owns. The pie chart shows federal spending in 2015 broken into these three categories.</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eastAsia="Times New Roman" w:hAnsi="Times New Roman" w:cs="Times New Roman"/>
          <w:b/>
          <w:bCs/>
          <w:sz w:val="28"/>
          <w:szCs w:val="28"/>
          <w:lang w:val="en-US"/>
        </w:rPr>
        <w:t>Discretionary Spending</w:t>
      </w:r>
    </w:p>
    <w:p w:rsidR="004379E3" w:rsidRPr="0068182D" w:rsidRDefault="00CD577A" w:rsidP="00C40532">
      <w:pPr>
        <w:spacing w:after="0" w:line="240" w:lineRule="auto"/>
        <w:ind w:firstLine="708"/>
        <w:jc w:val="both"/>
        <w:rPr>
          <w:rFonts w:ascii="Times New Roman" w:hAnsi="Times New Roman" w:cs="Times New Roman"/>
          <w:sz w:val="28"/>
          <w:szCs w:val="28"/>
          <w:shd w:val="clear" w:color="auto" w:fill="FFFFFF"/>
          <w:lang w:val="en-US"/>
        </w:rPr>
      </w:pPr>
      <w:hyperlink r:id="rId75" w:anchor="discretionary-spending" w:history="1">
        <w:r w:rsidR="004379E3" w:rsidRPr="0068182D">
          <w:rPr>
            <w:rFonts w:ascii="Times New Roman" w:eastAsia="Times New Roman" w:hAnsi="Times New Roman" w:cs="Times New Roman"/>
            <w:sz w:val="28"/>
            <w:szCs w:val="28"/>
            <w:lang w:val="en-US"/>
          </w:rPr>
          <w:t>Discretionary spending</w:t>
        </w:r>
      </w:hyperlink>
      <w:r w:rsidR="004379E3" w:rsidRPr="0068182D">
        <w:rPr>
          <w:rFonts w:ascii="Times New Roman" w:eastAsia="Times New Roman" w:hAnsi="Times New Roman" w:cs="Times New Roman"/>
          <w:sz w:val="28"/>
          <w:szCs w:val="28"/>
          <w:lang w:val="en-US"/>
        </w:rPr>
        <w:t> refers to the portion of the budget that is decided by Congress through the annual </w:t>
      </w:r>
      <w:hyperlink r:id="rId76" w:anchor="appropriations-process" w:history="1">
        <w:r w:rsidR="004379E3" w:rsidRPr="0068182D">
          <w:rPr>
            <w:rFonts w:ascii="Times New Roman" w:eastAsia="Times New Roman" w:hAnsi="Times New Roman" w:cs="Times New Roman"/>
            <w:sz w:val="28"/>
            <w:szCs w:val="28"/>
            <w:lang w:val="en-US"/>
          </w:rPr>
          <w:t>appropriations process</w:t>
        </w:r>
      </w:hyperlink>
      <w:r w:rsidR="004379E3" w:rsidRPr="0068182D">
        <w:rPr>
          <w:rFonts w:ascii="Times New Roman" w:eastAsia="Times New Roman" w:hAnsi="Times New Roman" w:cs="Times New Roman"/>
          <w:sz w:val="28"/>
          <w:szCs w:val="28"/>
          <w:lang w:val="en-US"/>
        </w:rPr>
        <w:t> each year. These spending levels are set each year by Congress.</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eastAsia="Times New Roman" w:hAnsi="Times New Roman" w:cs="Times New Roman"/>
          <w:sz w:val="28"/>
          <w:szCs w:val="28"/>
          <w:lang w:val="en-US"/>
        </w:rPr>
        <w:t>This pie chart shows how Congress allocated $1.11 trillion in </w:t>
      </w:r>
      <w:hyperlink r:id="rId77" w:anchor="discretionary-spending" w:history="1">
        <w:r w:rsidRPr="0068182D">
          <w:rPr>
            <w:rFonts w:ascii="Times New Roman" w:eastAsia="Times New Roman" w:hAnsi="Times New Roman" w:cs="Times New Roman"/>
            <w:sz w:val="28"/>
            <w:szCs w:val="28"/>
            <w:lang w:val="en-US"/>
          </w:rPr>
          <w:t>discretionary spending</w:t>
        </w:r>
      </w:hyperlink>
      <w:r w:rsidRPr="0068182D">
        <w:rPr>
          <w:rFonts w:ascii="Times New Roman" w:eastAsia="Times New Roman" w:hAnsi="Times New Roman" w:cs="Times New Roman"/>
          <w:sz w:val="28"/>
          <w:szCs w:val="28"/>
          <w:lang w:val="en-US"/>
        </w:rPr>
        <w:t> in fiscal year 2015.</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eastAsia="Times New Roman" w:hAnsi="Times New Roman" w:cs="Times New Roman"/>
          <w:sz w:val="28"/>
          <w:szCs w:val="28"/>
          <w:lang w:val="en-US"/>
        </w:rPr>
        <w:t>MilitaryGovernmentEducationMedicare &amp; HealthVeterans' BenefitsHousing &amp; CommunityInternational AffairsEnergy &amp; EnvironmentScienceTransportationFood &amp; AgricultureDiscretionary Spending 2015: $1.11 Trillion</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eastAsia="Times New Roman" w:hAnsi="Times New Roman" w:cs="Times New Roman"/>
          <w:sz w:val="28"/>
          <w:szCs w:val="28"/>
          <w:lang w:val="en-US"/>
        </w:rPr>
        <w:t>By far, the biggest category of discretionary spending is spending on the Pentagon and related military programs. Examples of other well-known programs paid for by discretionary spending include the early childhood education program Head Start (included in Housing &amp; Community), Title I grants to disadvantaged schools and Pell grants for low-income college students (Education), food assistance for Women, Infants and Children (WIC), training and placement for unemployed people provided by Workforce Investment Boards (in Social Security, Unemployment and Labor), and scientific research through the National Institutes of Health (NIH) and National Science Foundation (NSF), among many others.</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eastAsia="Times New Roman" w:hAnsi="Times New Roman" w:cs="Times New Roman"/>
          <w:b/>
          <w:bCs/>
          <w:sz w:val="28"/>
          <w:szCs w:val="28"/>
          <w:lang w:val="en-US"/>
        </w:rPr>
        <w:t>Mandatory Spending</w:t>
      </w:r>
    </w:p>
    <w:p w:rsidR="004379E3" w:rsidRPr="0068182D" w:rsidRDefault="00CD577A" w:rsidP="00C40532">
      <w:pPr>
        <w:spacing w:after="0" w:line="240" w:lineRule="auto"/>
        <w:ind w:firstLine="708"/>
        <w:jc w:val="both"/>
        <w:rPr>
          <w:rFonts w:ascii="Times New Roman" w:hAnsi="Times New Roman" w:cs="Times New Roman"/>
          <w:sz w:val="28"/>
          <w:szCs w:val="28"/>
          <w:shd w:val="clear" w:color="auto" w:fill="FFFFFF"/>
          <w:lang w:val="en-US"/>
        </w:rPr>
      </w:pPr>
      <w:hyperlink r:id="rId78" w:anchor="mandatory-spending" w:history="1">
        <w:r w:rsidR="004379E3" w:rsidRPr="0068182D">
          <w:rPr>
            <w:rFonts w:ascii="Times New Roman" w:eastAsia="Times New Roman" w:hAnsi="Times New Roman" w:cs="Times New Roman"/>
            <w:sz w:val="28"/>
            <w:szCs w:val="28"/>
            <w:lang w:val="en-US"/>
          </w:rPr>
          <w:t>Mandatory spending</w:t>
        </w:r>
      </w:hyperlink>
      <w:r w:rsidR="004379E3" w:rsidRPr="0068182D">
        <w:rPr>
          <w:rFonts w:ascii="Times New Roman" w:eastAsia="Times New Roman" w:hAnsi="Times New Roman" w:cs="Times New Roman"/>
          <w:sz w:val="28"/>
          <w:szCs w:val="28"/>
          <w:lang w:val="en-US"/>
        </w:rPr>
        <w:t> is spending that Congress legislates outside of the annual appropriations process, usually less than once a year. It is dominated by the well-known earned-benefit programs Social Security and Medicare. It also includes widely used safety net programs like the Supplemental Nutrition Assistance Program (SNAP, formerly food stamps), and a significant amount of federal spending on transportation, among other things.</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eastAsia="Times New Roman" w:hAnsi="Times New Roman" w:cs="Times New Roman"/>
          <w:sz w:val="28"/>
          <w:szCs w:val="28"/>
          <w:lang w:val="en-US"/>
        </w:rPr>
        <w:t>Many mandatory programs' spending levels are determined by eligibility rules. For example, Congress decides to create a program like Social Security. It then sets criteria for determining who is eligible to receive benefits from the program, and benefit levels for people who are eligible. The amount of money spent on Social Security each year is then determined by how many people are eligible and apply for benefits.</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eastAsia="Times New Roman" w:hAnsi="Times New Roman" w:cs="Times New Roman"/>
          <w:sz w:val="28"/>
          <w:szCs w:val="28"/>
          <w:lang w:val="en-US"/>
        </w:rPr>
        <w:t>Congress therefore does not decide each year to increase or decrease the budget for Social Security or other earned benefit programs. Instead, it periodically reviews the eligibility rules and may change them in order to exclude or include more people, or offer more or less generous benefits to those who are eligible, and therefore change the amount spent on the program.</w:t>
      </w:r>
    </w:p>
    <w:p w:rsidR="004379E3" w:rsidRPr="0068182D" w:rsidRDefault="00CD577A" w:rsidP="00C40532">
      <w:pPr>
        <w:spacing w:after="0" w:line="240" w:lineRule="auto"/>
        <w:ind w:firstLine="708"/>
        <w:jc w:val="both"/>
        <w:rPr>
          <w:rFonts w:ascii="Times New Roman" w:hAnsi="Times New Roman" w:cs="Times New Roman"/>
          <w:sz w:val="28"/>
          <w:szCs w:val="28"/>
          <w:shd w:val="clear" w:color="auto" w:fill="FFFFFF"/>
          <w:lang w:val="en-US"/>
        </w:rPr>
      </w:pPr>
      <w:hyperlink r:id="rId79" w:anchor="mandatory-spending" w:history="1">
        <w:r w:rsidR="004379E3" w:rsidRPr="0068182D">
          <w:rPr>
            <w:rFonts w:ascii="Times New Roman" w:eastAsia="Times New Roman" w:hAnsi="Times New Roman" w:cs="Times New Roman"/>
            <w:sz w:val="28"/>
            <w:szCs w:val="28"/>
            <w:lang w:val="en-US"/>
          </w:rPr>
          <w:t>Mandatory spending</w:t>
        </w:r>
      </w:hyperlink>
      <w:r w:rsidR="004379E3" w:rsidRPr="0068182D">
        <w:rPr>
          <w:rFonts w:ascii="Times New Roman" w:eastAsia="Times New Roman" w:hAnsi="Times New Roman" w:cs="Times New Roman"/>
          <w:sz w:val="28"/>
          <w:szCs w:val="28"/>
          <w:lang w:val="en-US"/>
        </w:rPr>
        <w:t> makes up nearly two-thirds of the total federal budget. Social Security alone comprises more than a third of </w:t>
      </w:r>
      <w:hyperlink r:id="rId80" w:anchor="mandatory-spending" w:history="1">
        <w:r w:rsidR="004379E3" w:rsidRPr="0068182D">
          <w:rPr>
            <w:rFonts w:ascii="Times New Roman" w:eastAsia="Times New Roman" w:hAnsi="Times New Roman" w:cs="Times New Roman"/>
            <w:sz w:val="28"/>
            <w:szCs w:val="28"/>
            <w:lang w:val="en-US"/>
          </w:rPr>
          <w:t>mandatory spending</w:t>
        </w:r>
      </w:hyperlink>
      <w:r w:rsidR="004379E3" w:rsidRPr="0068182D">
        <w:rPr>
          <w:rFonts w:ascii="Times New Roman" w:eastAsia="Times New Roman" w:hAnsi="Times New Roman" w:cs="Times New Roman"/>
          <w:sz w:val="28"/>
          <w:szCs w:val="28"/>
          <w:lang w:val="en-US"/>
        </w:rPr>
        <w:t> and around 23 percent of the total federal budget. Medicare makes up an additional 23 percent of mandatory spending and 15 percent of the total federal budget.</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eastAsia="Times New Roman" w:hAnsi="Times New Roman" w:cs="Times New Roman"/>
          <w:sz w:val="28"/>
          <w:szCs w:val="28"/>
          <w:lang w:val="en-US"/>
        </w:rPr>
        <w:t>This chart shows where the projected $2.45 trillion in </w:t>
      </w:r>
      <w:hyperlink r:id="rId81" w:anchor="mandatory-spending" w:history="1">
        <w:r w:rsidRPr="0068182D">
          <w:rPr>
            <w:rFonts w:ascii="Times New Roman" w:eastAsia="Times New Roman" w:hAnsi="Times New Roman" w:cs="Times New Roman"/>
            <w:sz w:val="28"/>
            <w:szCs w:val="28"/>
            <w:lang w:val="en-US"/>
          </w:rPr>
          <w:t>mandatory spending</w:t>
        </w:r>
      </w:hyperlink>
      <w:r w:rsidRPr="0068182D">
        <w:rPr>
          <w:rFonts w:ascii="Times New Roman" w:eastAsia="Times New Roman" w:hAnsi="Times New Roman" w:cs="Times New Roman"/>
          <w:sz w:val="28"/>
          <w:szCs w:val="28"/>
          <w:lang w:val="en-US"/>
        </w:rPr>
        <w:t> will go in fiscal year 2015.</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eastAsia="Times New Roman" w:hAnsi="Times New Roman" w:cs="Times New Roman"/>
          <w:sz w:val="28"/>
          <w:szCs w:val="28"/>
          <w:lang w:val="en-US"/>
        </w:rPr>
        <w:t>Social Security, Unemployment &amp; LaborMedicare &amp; HealthFood &amp; AgricultureVeterans' BenefitsTransportationOtherTotal Mandatory Spending 2015: $2.45 Trillion</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eastAsia="Times New Roman" w:hAnsi="Times New Roman" w:cs="Times New Roman"/>
          <w:b/>
          <w:bCs/>
          <w:sz w:val="28"/>
          <w:szCs w:val="28"/>
          <w:lang w:val="en-US"/>
        </w:rPr>
        <w:t>All Federal Spending</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eastAsia="Times New Roman" w:hAnsi="Times New Roman" w:cs="Times New Roman"/>
          <w:sz w:val="28"/>
          <w:szCs w:val="28"/>
          <w:lang w:val="en-US"/>
        </w:rPr>
        <w:t>Finally, putting together </w:t>
      </w:r>
      <w:hyperlink r:id="rId82" w:anchor="discretionary-spending" w:history="1">
        <w:r w:rsidRPr="0068182D">
          <w:rPr>
            <w:rFonts w:ascii="Times New Roman" w:eastAsia="Times New Roman" w:hAnsi="Times New Roman" w:cs="Times New Roman"/>
            <w:sz w:val="28"/>
            <w:szCs w:val="28"/>
            <w:lang w:val="en-US"/>
          </w:rPr>
          <w:t>discretionary spending</w:t>
        </w:r>
      </w:hyperlink>
      <w:r w:rsidRPr="0068182D">
        <w:rPr>
          <w:rFonts w:ascii="Times New Roman" w:eastAsia="Times New Roman" w:hAnsi="Times New Roman" w:cs="Times New Roman"/>
          <w:sz w:val="28"/>
          <w:szCs w:val="28"/>
          <w:lang w:val="en-US"/>
        </w:rPr>
        <w:t>, </w:t>
      </w:r>
      <w:hyperlink r:id="rId83" w:anchor="mandatory-spending" w:history="1">
        <w:r w:rsidRPr="0068182D">
          <w:rPr>
            <w:rFonts w:ascii="Times New Roman" w:eastAsia="Times New Roman" w:hAnsi="Times New Roman" w:cs="Times New Roman"/>
            <w:sz w:val="28"/>
            <w:szCs w:val="28"/>
            <w:lang w:val="en-US"/>
          </w:rPr>
          <w:t>mandatory spending</w:t>
        </w:r>
      </w:hyperlink>
      <w:r w:rsidRPr="0068182D">
        <w:rPr>
          <w:rFonts w:ascii="Times New Roman" w:eastAsia="Times New Roman" w:hAnsi="Times New Roman" w:cs="Times New Roman"/>
          <w:sz w:val="28"/>
          <w:szCs w:val="28"/>
          <w:lang w:val="en-US"/>
        </w:rPr>
        <w:t>, and interest on the </w:t>
      </w:r>
      <w:hyperlink r:id="rId84" w:anchor="debt" w:history="1">
        <w:r w:rsidRPr="0068182D">
          <w:rPr>
            <w:rFonts w:ascii="Times New Roman" w:eastAsia="Times New Roman" w:hAnsi="Times New Roman" w:cs="Times New Roman"/>
            <w:sz w:val="28"/>
            <w:szCs w:val="28"/>
            <w:lang w:val="en-US"/>
          </w:rPr>
          <w:t>debt</w:t>
        </w:r>
      </w:hyperlink>
      <w:r w:rsidRPr="0068182D">
        <w:rPr>
          <w:rFonts w:ascii="Times New Roman" w:eastAsia="Times New Roman" w:hAnsi="Times New Roman" w:cs="Times New Roman"/>
          <w:sz w:val="28"/>
          <w:szCs w:val="28"/>
          <w:lang w:val="en-US"/>
        </w:rPr>
        <w:t>, you can see how the total federal budget is divided into different categories of spending. This pie chart shows the breakdown $3.8 trillion in combined discretionary, mandatory, and interest spending budgeted by Congress in fiscal year 2015.</w:t>
      </w:r>
    </w:p>
    <w:p w:rsidR="004379E3" w:rsidRPr="0068182D" w:rsidRDefault="004379E3" w:rsidP="00C40532">
      <w:pPr>
        <w:spacing w:after="0" w:line="240" w:lineRule="auto"/>
        <w:ind w:firstLine="708"/>
        <w:jc w:val="both"/>
        <w:rPr>
          <w:rFonts w:ascii="Times New Roman" w:hAnsi="Times New Roman" w:cs="Times New Roman"/>
          <w:sz w:val="28"/>
          <w:szCs w:val="28"/>
          <w:shd w:val="clear" w:color="auto" w:fill="FFFFFF"/>
          <w:lang w:val="en-US"/>
        </w:rPr>
      </w:pPr>
      <w:r w:rsidRPr="0068182D">
        <w:rPr>
          <w:rFonts w:ascii="Times New Roman" w:eastAsia="Times New Roman" w:hAnsi="Times New Roman" w:cs="Times New Roman"/>
          <w:sz w:val="28"/>
          <w:szCs w:val="28"/>
          <w:lang w:val="en-US"/>
        </w:rPr>
        <w:t>Social Security, Unemployment &amp; LaborMedicare &amp; HealthMilitaryInterest on DebtVeteran's BenefitsFood &amp; AgricultureEducationTransportationHousing &amp; CommunityInternational AffairsEnergy &amp; EnvironmentScienceTotal Federal Spending 2015: $3.8 Trillion</w:t>
      </w:r>
    </w:p>
    <w:p w:rsidR="004379E3" w:rsidRPr="0068182D" w:rsidRDefault="004379E3" w:rsidP="00C40532">
      <w:pPr>
        <w:spacing w:after="0" w:line="240" w:lineRule="auto"/>
        <w:jc w:val="both"/>
        <w:rPr>
          <w:rFonts w:ascii="Times New Roman" w:hAnsi="Times New Roman" w:cs="Times New Roman"/>
          <w:b/>
          <w:sz w:val="28"/>
          <w:szCs w:val="28"/>
          <w:lang w:val="en-US"/>
        </w:rPr>
      </w:pPr>
    </w:p>
    <w:p w:rsidR="004379E3" w:rsidRPr="0068182D" w:rsidRDefault="004379E3" w:rsidP="00C40532">
      <w:pPr>
        <w:spacing w:after="0" w:line="240" w:lineRule="auto"/>
        <w:ind w:firstLine="284"/>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6. Characteristics of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US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tax system</w:t>
      </w:r>
    </w:p>
    <w:p w:rsidR="004379E3" w:rsidRPr="0068182D" w:rsidRDefault="004379E3" w:rsidP="00C40532">
      <w:pPr>
        <w:spacing w:after="0" w:line="240" w:lineRule="auto"/>
        <w:jc w:val="both"/>
        <w:rPr>
          <w:rFonts w:ascii="Times New Roman" w:hAnsi="Times New Roman" w:cs="Times New Roman"/>
          <w:b/>
          <w:sz w:val="28"/>
          <w:szCs w:val="28"/>
          <w:lang w:val="en-US"/>
        </w:rPr>
      </w:pPr>
    </w:p>
    <w:p w:rsidR="004379E3" w:rsidRPr="0068182D" w:rsidRDefault="004379E3" w:rsidP="000537F4">
      <w:pPr>
        <w:pStyle w:val="a4"/>
        <w:numPr>
          <w:ilvl w:val="0"/>
          <w:numId w:val="12"/>
        </w:numPr>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Introduction of Taxation in the United States</w:t>
      </w:r>
    </w:p>
    <w:p w:rsidR="004379E3" w:rsidRPr="0068182D" w:rsidRDefault="004379E3" w:rsidP="000537F4">
      <w:pPr>
        <w:pStyle w:val="a4"/>
        <w:numPr>
          <w:ilvl w:val="0"/>
          <w:numId w:val="12"/>
        </w:numPr>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Tax Progressivity</w:t>
      </w:r>
    </w:p>
    <w:p w:rsidR="004379E3" w:rsidRPr="0068182D" w:rsidRDefault="004379E3" w:rsidP="000537F4">
      <w:pPr>
        <w:pStyle w:val="a4"/>
        <w:numPr>
          <w:ilvl w:val="0"/>
          <w:numId w:val="12"/>
        </w:numPr>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Reasons for Progressive Taxation</w:t>
      </w:r>
    </w:p>
    <w:p w:rsidR="004379E3" w:rsidRPr="0068182D" w:rsidRDefault="004379E3" w:rsidP="000537F4">
      <w:pPr>
        <w:pStyle w:val="a4"/>
        <w:numPr>
          <w:ilvl w:val="0"/>
          <w:numId w:val="12"/>
        </w:numPr>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Federal Income Taxes</w:t>
      </w:r>
    </w:p>
    <w:p w:rsidR="004379E3" w:rsidRPr="0068182D" w:rsidRDefault="004379E3" w:rsidP="000537F4">
      <w:pPr>
        <w:pStyle w:val="a4"/>
        <w:numPr>
          <w:ilvl w:val="0"/>
          <w:numId w:val="12"/>
        </w:numPr>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Social Insurance Taxes</w:t>
      </w:r>
    </w:p>
    <w:p w:rsidR="004379E3" w:rsidRPr="0068182D" w:rsidRDefault="004379E3" w:rsidP="000537F4">
      <w:pPr>
        <w:pStyle w:val="a4"/>
        <w:numPr>
          <w:ilvl w:val="0"/>
          <w:numId w:val="12"/>
        </w:numPr>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Federal Corporate Taxes</w:t>
      </w:r>
    </w:p>
    <w:p w:rsidR="004379E3" w:rsidRPr="0068182D" w:rsidRDefault="004379E3" w:rsidP="000537F4">
      <w:pPr>
        <w:pStyle w:val="a4"/>
        <w:numPr>
          <w:ilvl w:val="0"/>
          <w:numId w:val="12"/>
        </w:numPr>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Federal Excise Taxes</w:t>
      </w:r>
    </w:p>
    <w:p w:rsidR="004379E3" w:rsidRPr="0068182D" w:rsidRDefault="004379E3" w:rsidP="000537F4">
      <w:pPr>
        <w:pStyle w:val="a4"/>
        <w:numPr>
          <w:ilvl w:val="0"/>
          <w:numId w:val="12"/>
        </w:numPr>
        <w:spacing w:after="0" w:line="240" w:lineRule="auto"/>
        <w:ind w:left="709" w:firstLine="0"/>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Federal Estate and Gift Taxes</w:t>
      </w:r>
    </w:p>
    <w:p w:rsidR="004379E3" w:rsidRPr="0068182D" w:rsidRDefault="004379E3" w:rsidP="000537F4">
      <w:pPr>
        <w:pStyle w:val="a4"/>
        <w:numPr>
          <w:ilvl w:val="0"/>
          <w:numId w:val="12"/>
        </w:numPr>
        <w:spacing w:after="0" w:line="240" w:lineRule="auto"/>
        <w:ind w:left="709" w:firstLine="0"/>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State and Local Taxes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a) Introduction of Taxation in the United States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Taxes are complicated. The U.S. federal tax code contains over three million words – about 6,000 pages. A casual browsing of the tax code’s table of contents offers a glimpse into the vast complexity of federal taxation. Entire sections of the tax code apply specifically to such topics as the taxation of vaccines, shipowners' mutual protection and indemnity associations, specially sweetened natural wines, and life insurance companies. Annual changes to the tax code imply that taxes will continue to become more complex even as politicians tout tax simplification. Taxes levied by other jurisdictions, such as states and cities, add further layers of complexity. Americans spend billions of hours each year working on their taxes, not to mention the costs of accountants and tax preparers.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Fortunately, one needn’t comprehend the imposing complexity of the tax code to understand the crucial role of taxes in American society. Taxation is an important, but commonly neglected, topic for students of economics, political science, and other social sciences. Tax policy has important economic consequences, both for the national economy and for particular groups within the economy. Tax policies are often designed with the intention of stimulating economic growth – although economists differ drastically about which policies are most effective at fostering growth. Taxes can create incentives promoting desirable behavior and disincentives for unwanted behavior. Taxation provides a means to redistribute economic resources towards those with low incomes or special needs. Taxes provide the revenue needed for critical public services such as social security, health care, national defense, and education.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Taxation is as much a political issue as an economic issue. Political leaders have used tax policy to promote their agendas by initiating various tax reforms: decreasing (or increasing) tax rates, changing the definition of taxable income, creating new taxes on specific products, etc. Of course, no one particularly wants to pay taxes. Specific groups, such as small-business owners, farmers, or retired individuals, exert significant political effort to reduce their share of the tax burden. The voluminous tax code is packed with rules that benefit a certain group of taxpayers while inevitably shifting more of the burden to others. Tax policy clearly reflects the expression of power in the U.S. – those without power or favor are left paying more in taxes while others reap the benefits of lower taxes because of their political influence. Broad attempts to reform the tax system have produced dramatic and sudden shifts in tax policy, generally motivated by political factors rather than sound economic theory. For example, the top marginal federal tax bracket on individual income in the U.S. dropped precipitously from 70% to 28% during the 1980s. Tax policy has clearly been used to promote political, as well as economic, agendas.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b) Tax Progressivity</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overall system of taxation in the United States is progressive. By a progressive tax system, we mean that the percentage of income an individual (or household) pays in taxes tends to increase with increasing income. Not only do those with higher incomes pay more in total taxes, they pay a higher rate of taxes. For example, a person making $100,000 in a year might pay 25% of their income in taxes ($25,000 in taxes), while someone with an income of $30,000 might only pay a 10% tax rate ($3,000 in taxes).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 tax system may also be regressive or proportional. A regressive tax system is one where the proportion of income paid in taxes tends to decrease as one’s income increases. A proportional tax system simply means that everyone pays the same tax rate regardless of income. A given tax system may display elements of more than one approach. Consider a hypothetical tax system where one pays a proportional, or flat, rate on income below a certain dollar amount and then progressively increasing rates above that dollar amount. Also, within an overall tax system, some particular taxes might be progressive while other taxes are regressive. We’ll see later on that this is the case in the United States.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c) Reasons for Progressive Taxation</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overall tax system of the United States, and in most other countries, is progressive for a number of reasons. A progressive tax embodies the concept that those with high incomes should pay more of their income in taxes because of their greater ability to pay without critical sacrifices. By paying a tax, any household must forego an equivalent amount of spending on goods, services, or investments. For a high-income household, these foregone opportunities might include a second home, an expensive vehicle, or a purchase of corporate stock. A low-income household, by comparison, might have to forego basic medical care, post-secondary education, or vehicle safety repairs. As income increases, the opportunity costs of paying taxes tend to be associated more with luxuries rather than basic necessities. The ability-to-pay principle recognizes that a flat (or regressive) tax rate would impose a larger burden, in terms of foregone necessities, on low-income households as compared to high-income households.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 progressive tax system is also a way to address economic inequalities in a society. A high degree of inequality can be lessened by taxing high-income households at a relatively higher rate than low-income households. But we also need to consider who receives the benefits derived from tax revenues to fully evaluate a tax system’s impact on inequality. If the benefits of programs funded by taxation primarily accrue to low-income households while high-income households pay the majority of taxes, then the tax system effectively operates as a transfer mechanism. Increasing the progressivity of the tax system or altering the distribution of benefits allows redistribution of economic resources. We’ll mainly focus on tax payments in this article but you should also be aware that the benefits of public expenditures are not evenly distributed throughout society.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There is also an economic argument for a progressive tax system – it may yield a given level of public revenue with the least economic impact. To see why, consider how households with different levels of income would respond to a $100 tax cut. A low-income household would tend to quickly spend the entire amount on needed goods and services – injecting $100 of increased demand into the economy. By comparison, a high-income household might only spend a fraction on goods and services, choosing to save or invest a portion of the money. The money that a high-income household saves or invests does not add to the level of demand for goods and services in an economy. In economic terms, we say that the marginal propensity to consume tends to decrease as income increases. So, by collecting proportionally more taxes from high-income households we tend to maintain a higher level of effective demand and more economic activity.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Of course, one can posit that a tax system can become too progressive. Extremely high tax rates at high-income levels might create a significant disincentive that reduces the productive capacity of society. Very high taxes might limit the risks taken by entrepreneurs, stifling innovations and technological advances. The desire to “soak the rich” through an extremely progressive tax system might be viewed as unfair, and not just by the rich. In fact, this was a concern of the Constitutional framers – that in a democratic system, the majority could impose unduly burdensome taxes on the wealthy minority. We’ll see that their concerns have proved groundless. Many critics of the current tax system point to the contrary position – that a powerful minority have used their might to shift the tax burden away from themselves onto an immobilized and misinformed majority.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Even if one could devise a tax system that is economically optimal (i.e., producing the highest overall level of economic growth), the topic of taxation encompasses ideals about equity and fairness. A society may be willing to sacrifice some degree of economic growth in exchange for a more equitable distribution of economic resources. This is not to say that economic growth must always be sacrificed with redistribution. In fact, analysis of the U.S. historical data finds that high levels of economic growth tend to be associated with periods of relatively equitable distribution of economic resources.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We now turn to differentiating between the different types of taxes levied in the U.S. We’ll first discuss several forms of federal taxation, roughly in order of the revenue they generate, and then consider taxation at the state and local levels. A final section will consider taxes that are generally not used in the U.S. but are important in other nations.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d) Federal Income Taxes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federal income tax is the most visible, complicated, and debated tax in the U.S. The federal income tax was established with the ratification of the 16th Amendment to the U.S. Constitution in 1913. It is levied on wages and salaries as well as income from many other sources including interest, dividends, capital gains, self-employment income, alimony, and prizes. To understand the basic workings of federal income taxes, you need to comprehend only two major issues. First, all income is not taxable – there are important differences among “total income,” “adjusted gross income,” and “taxable income.” Second, you need to know the distinction between a person’s “effective tax rate” and “marginal tax rate.”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Total income is simply the sum of income an individual or couple receives from all sources. For most people, the largest portion of total income comes from wages or salaries. Many people receive investment income from three standard sources: interest, capital gains, and dividends. Self-employment income is also included in total income, along with other types of income such as alimony, farm income, and gambling winnings.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amount of federal taxes a person owes is not calculated based on total income. Instead, once total income is calculated, tax filers subtract some expenses as non-taxable. To obtain adjusted gross income (AGI), certain out-of-pocket expenses are subtracted from total income. These expenses include individual retirement account contributions, moving expenses, student loan interest, tuition, and a few other expenses. AGI is important because much of the tax data presented by the Internal Revenue Service (IRS) are sorted by AGI. However, taxes are not calculated based on AGI either. Taxable income is basically AGI less deductions and exemptions. Deductions are either standard or itemized. The standard deduction is a fixed amount excluded from taxation – in 2003 the standard deduction was $4,750 for single individuals and $9,500 for married couples. Tax filers have the option of itemizing their deductions. To itemize, a tax filer adds up certain expenses made during the year including state taxes, real estate taxes, mortgage interest, gifts to charity, and major medical expenses. If the itemized deductions exceed the standard deduction, then the itemized total is deducted instead. Exemptions are calculated based on the number of tax filers and dependents. A single tax filer with no dependent children can claim one exemption. A married couple with no children can claim two exemptions. Each dependent child counts as one more exemption. Additional exemptions are given for being age 65 or over or blind. In 2003, each exemption excluded a further $3,050 from taxation.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Taxable income is obtained by subtracting the deduction and exemption amounts from AGI. This is the amount a taxpayer actually pays taxes on. However, the amount of tax owed is not simply a multiple of taxable income and a single tax rate. The federal income tax system in the U.S. uses increasing marginal tax rates. This means that different tax rates apply on different portions of a person’s income. The concept can be illustrated with an example using the 2003 tax rates. For a single filer, the first $7,000 of taxable income (not total income or AGI) is taxed at a rate of 10%. Taxable income above $7,000 but less than $28,400 is taxed at a rate of 15%. Taxable income above $28,400 but less than $68,800 is taxed at a rate of 25%. Income above $68,800 is taxed at higher marginal rates – 28%, 33%, and 35%.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Not all income, however, is taxed at the same marginal rates. Investment income from capital gains has generally been taxed at a lower rate than income from labor. Dividend income used to be taxed at the same marginal rate as labor income but the Jobs and Growth Act of 2003 also taxes dividends at the lower capital gains rate. While the top marginal rate on labor income in 2003 was 35%, the top rate on capital gains and dividend income was only 15%. Given that the vast majority of investment income is earned by wealthy taxpayers, the lower rates on investment income has important implications for the progressivity of the federal income tax.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e) Social Insurance Taxes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Taxes for federal social insurance programs, including Social Security, Medicaid, and Medicare, are taxed separately from income. Social insurance taxes are levied on salaries and wages, as well as income from self-employment. For those employed by others, these taxes are generally deducted directly from their paycheck. These deductions commonly appear as “FICA” taxes – a reference to the Federal Insurance Contributions Act. Self-employed individuals must pay their social insurance taxes when they file their federal income tax returns.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Social insurance taxes are actually two separate taxes. The first is a tax of 12.4% of wages, which is primarily used to fund Social Security. Half of this tax is deducted from an employee’s paycheck while the employer is responsible for matching this contribution. The other is a tax of 2.9% for the Medicare program. Again, the employee and employer each pay half. Thus, social insurance taxes normally amount to a 7.65% deduction from an employee’s wage (6.2% + 1.45%). Self-employed individuals are responsible for paying the entire share, 15.3%, themselves.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There is a very important difference between these two taxes. The Social Security tax is due only on the first $84,900 (in 2002) of income. On income above $84,900, no additional Social Security tax is paid. In other words, the maximum Social Security tax in 2002 that would be deducted from total wages is $5,264 ($84,900 × 0.062). The Medicare tax, however, is paid on all wages. Thus, the Medicare tax is truly a flat tax while the Social Security tax is a flat tax on the first $84,900 of income but then becomes a regressive tax when we consider income above this limit.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Consider the impact of social insurance taxes on two individuals, one making a salary of $30,000 and another making $300,000. The typical worker would pay 7.65% on all income, or $2,295, in federal social insurance taxes. The high-income worker would pay the maximum Social Security contribution of $5,264 plus $4,350 for Medicare (1.45% of $300,000) for a total social insurance tax bill of $9,614. Note that this works out to a 3.2% overall tax rate, or less than half the tax rate paid by the typical worker. As the high-income individual pays a lower rate of taxation, we see that social insurance taxes are regressive.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f) Federal Corporate Taxes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Corporations must file federal tax forms that are in many ways similar to the forms individuals complete. Corporate taxable income is defined as total revenues minus the cost of goods sold, wages and salaries, depreciation, repairs, interest paid, and other deductions. Thus corporations, like individuals, can take advantage of many deductions to reduce their taxable income. In fact, a corporation may have so many deductions that it actually ends up paying no tax at all or even receives a rebate check from the federal government.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Corporate tax rates, like personal income tax rates, are progressive and calculated on a marginal basis. In 2002, the lowest corporate tax rate, applied to profits lower than $50,000 was 15%. The highest corporate tax rate, applied to profits over $10 million was 35%. As with individuals, the effective tax rate corporations pay is lower than their marginal tax rate.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g) Federal Excise Taxes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An excise tax is a tax on the production, sale, or use of a particular commodity. The federal government collects excise taxes from manufacturers and retailers for the production or sale of a surprising number of products including tires, telephone services, air travel, fossil fuels (including gasoline, diesel fuel, and aviation fuel), alcohol, tobacco, and firearms.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Unlike a sales tax, which is evident as an addition to the selling price of a product, excise taxes are normally incorporated into the price of a product. In most cases, consumers are not directly aware of the federal excise taxes they pay. However, every time you buy gas, make a phone call, fly in a commercial plane, or buy tobacco products, you are paying a federal excise tax. For example, the federal excise tax on gasoline as of 2003 was about 18 cents per gallon.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Federal excise taxes initially may appear to be an example of proportional taxation – everyone pays the same tax rate on goods subject to excise taxes. However, in practice excise taxes turn out to be regressive because lower-income households tend to spend a greater portion of their income on goods that are subject to federal excise taxes. This is particularly true for gasoline, tobacco, and alcohol products. </w:t>
      </w:r>
    </w:p>
    <w:p w:rsidR="00FF2DA0" w:rsidRPr="0068182D" w:rsidRDefault="00FF2DA0" w:rsidP="00C40532">
      <w:pPr>
        <w:spacing w:after="0" w:line="240" w:lineRule="auto"/>
        <w:ind w:firstLine="709"/>
        <w:jc w:val="both"/>
        <w:rPr>
          <w:rFonts w:ascii="Times New Roman" w:hAnsi="Times New Roman" w:cs="Times New Roman"/>
          <w:b/>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h) Federal Estate and Gift Taxes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vast majority of Americans will never be affected by the federal estate or gift taxes. These taxes apply only to the wealthiest Americans. The estate tax is applied to transfers of large estates to beneficiaries. Currently, estates valued at less than $1 million ($2 million for couples) are totally exempt from the tax. The top marginal estate tax rate is 55% but, as with individual and corporate taxes, the effective tax rates on estate tend to be lower. Provisions of the estate tax laws reduce the tax burden for the transfer of small businesses and farms.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estate tax exemption amount is scheduled to increase over the next several years to $3.5 million ($7 million for couples) in 2009. In 2010, the estate tax is scheduled to expire but this expiration is only temporary – under current law the estate tax would be reinstated in 2011.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transfer of large gifts is also subject to federal taxation. The estate tax and gift tax are complementary because the gift tax essentially prevents people from giving away their estate to beneficiaries tax-free while they are still alive. In 2002, gifts under $11,000 were excluded from the tax. Similar to the federal income tax, the gift tax rates are marginal and progressive, with a maximum tax rate of 50%. The gift tax is also scheduled for temporary expiration in 2010.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estate and gift taxes are the most progressive element of federal taxation, paid exclusively by those with considerable assets. The majority of estate taxes are paid by a very small number of wealthy taxpayers. In 2000 over half of estate taxes were collected from estates worth more than $5 million, about 0.15% of all estates.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i) State and Local Taxes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Like the federal government, state governments also rely on tax revenues to fund public expenditures and transfer programs. Like the federal government, state governments rely on several different tax mechanisms including income taxes, excise taxes, and [[corporate tax]es. Thus, much of the above discussion applies to the tax structures in place in most states. However, there are some important differences that deserve mention.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Forty-one states levy an income tax. Most of these states have several progressive tax brackets (up to 10 rates) similar to the federal income tax. However, state income taxes tend to be much less progressive than the federal income tax. Six states have only one income tax rate, meaning that their income tax approaches a flat tax. Several more states have what is effectively a single tax rate because the top rate applies at a very low income. For example, Maryland’s top rate of 4.75% kicks in at only $3,000 of income.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Another important distinction between the federal system of taxation and the taxes levied at state and local levels is use of property taxes. In fact, property taxes tend to be the largest revenue source for state and local governments. The primary property tax levied in the U.S. is a tax on real estate, including land, private residences, and commercial properties. Generally, the tax is an annual assessment calculated as a proportion of the value of the property, although the formulas used by localities differ significantly. Property taxes are commonly collected at a local level, but a share of property taxes is allocated for state purposes. Property taxes tend to be regressive, although less regressive than excise and sales taxes. The reason is that high-income households tend to have a lower proportion of their assets subjected to property taxes. While renters do not directly pay property taxes, most economists conclude that the costs of property taxes are largely passed on to renters in the form of higher rents.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Control questions:</w:t>
      </w:r>
    </w:p>
    <w:p w:rsidR="004379E3" w:rsidRPr="0068182D" w:rsidRDefault="004379E3" w:rsidP="000537F4">
      <w:pPr>
        <w:pStyle w:val="a4"/>
        <w:numPr>
          <w:ilvl w:val="0"/>
          <w:numId w:val="14"/>
        </w:numPr>
        <w:spacing w:after="0" w:line="240" w:lineRule="auto"/>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Analyze The US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economy</w:t>
      </w:r>
    </w:p>
    <w:p w:rsidR="004379E3" w:rsidRPr="0068182D" w:rsidRDefault="004379E3" w:rsidP="000537F4">
      <w:pPr>
        <w:pStyle w:val="a4"/>
        <w:numPr>
          <w:ilvl w:val="0"/>
          <w:numId w:val="14"/>
        </w:numPr>
        <w:spacing w:after="0" w:line="240" w:lineRule="auto"/>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Explain the US financial system</w:t>
      </w:r>
    </w:p>
    <w:p w:rsidR="004379E3" w:rsidRPr="0068182D" w:rsidRDefault="004379E3" w:rsidP="000537F4">
      <w:pPr>
        <w:pStyle w:val="a4"/>
        <w:numPr>
          <w:ilvl w:val="0"/>
          <w:numId w:val="14"/>
        </w:numPr>
        <w:spacing w:after="0" w:line="240" w:lineRule="auto"/>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Basic</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principles of the US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budget</w:t>
      </w:r>
    </w:p>
    <w:p w:rsidR="004379E3" w:rsidRPr="0068182D" w:rsidRDefault="004379E3" w:rsidP="000537F4">
      <w:pPr>
        <w:pStyle w:val="a4"/>
        <w:numPr>
          <w:ilvl w:val="0"/>
          <w:numId w:val="14"/>
        </w:numPr>
        <w:spacing w:after="0" w:line="240" w:lineRule="auto"/>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Revenues of the federal budget</w:t>
      </w:r>
      <w:r w:rsidRPr="0068182D">
        <w:rPr>
          <w:rFonts w:ascii="Times New Roman" w:hAnsi="Times New Roman" w:cs="Times New Roman"/>
          <w:sz w:val="28"/>
          <w:szCs w:val="28"/>
          <w:lang w:val="en-US"/>
        </w:rPr>
        <w:t>.</w:t>
      </w:r>
    </w:p>
    <w:p w:rsidR="004379E3" w:rsidRPr="0068182D" w:rsidRDefault="004379E3" w:rsidP="000537F4">
      <w:pPr>
        <w:pStyle w:val="a4"/>
        <w:numPr>
          <w:ilvl w:val="0"/>
          <w:numId w:val="14"/>
        </w:numPr>
        <w:spacing w:after="0" w:line="240" w:lineRule="auto"/>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Expenditures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the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budget</w:t>
      </w:r>
    </w:p>
    <w:p w:rsidR="004379E3" w:rsidRPr="0068182D" w:rsidRDefault="004379E3" w:rsidP="000537F4">
      <w:pPr>
        <w:pStyle w:val="a4"/>
        <w:numPr>
          <w:ilvl w:val="0"/>
          <w:numId w:val="14"/>
        </w:numPr>
        <w:spacing w:after="0" w:line="240" w:lineRule="auto"/>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Taxes in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USA</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hd w:val="clear" w:color="auto" w:fill="FFFFFF"/>
        <w:tabs>
          <w:tab w:val="left" w:pos="180"/>
          <w:tab w:val="left" w:pos="870"/>
        </w:tabs>
        <w:spacing w:after="0" w:line="240" w:lineRule="auto"/>
        <w:jc w:val="center"/>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Theme 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financial policy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Germany</w:t>
      </w:r>
    </w:p>
    <w:p w:rsidR="00BE3110" w:rsidRPr="0068182D" w:rsidRDefault="00BE3110" w:rsidP="00C40532">
      <w:pPr>
        <w:shd w:val="clear" w:color="auto" w:fill="FFFFFF"/>
        <w:tabs>
          <w:tab w:val="left" w:pos="180"/>
          <w:tab w:val="left" w:pos="870"/>
        </w:tabs>
        <w:spacing w:after="0" w:line="240" w:lineRule="auto"/>
        <w:jc w:val="center"/>
        <w:rPr>
          <w:rStyle w:val="hps"/>
          <w:rFonts w:ascii="Times New Roman" w:hAnsi="Times New Roman" w:cs="Times New Roman"/>
          <w:b/>
          <w:sz w:val="28"/>
          <w:szCs w:val="28"/>
          <w:lang w:val="en-US"/>
        </w:rPr>
      </w:pPr>
    </w:p>
    <w:p w:rsidR="00FF2DA0" w:rsidRPr="0068182D" w:rsidRDefault="004379E3" w:rsidP="000537F4">
      <w:pPr>
        <w:pStyle w:val="a4"/>
        <w:numPr>
          <w:ilvl w:val="0"/>
          <w:numId w:val="46"/>
        </w:numPr>
        <w:shd w:val="clear" w:color="auto" w:fill="FFFFFF"/>
        <w:tabs>
          <w:tab w:val="left" w:pos="180"/>
          <w:tab w:val="left" w:pos="870"/>
        </w:tabs>
        <w:spacing w:after="0" w:line="240" w:lineRule="auto"/>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economic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political situation in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modern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Germany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role and place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the European Union</w:t>
      </w:r>
      <w:r w:rsidRPr="0068182D">
        <w:rPr>
          <w:rFonts w:ascii="Times New Roman" w:hAnsi="Times New Roman" w:cs="Times New Roman"/>
          <w:b/>
          <w:sz w:val="28"/>
          <w:szCs w:val="28"/>
          <w:lang w:val="en-US"/>
        </w:rPr>
        <w:t>.</w:t>
      </w:r>
    </w:p>
    <w:p w:rsidR="004379E3" w:rsidRPr="0068182D" w:rsidRDefault="004379E3" w:rsidP="000537F4">
      <w:pPr>
        <w:pStyle w:val="a4"/>
        <w:numPr>
          <w:ilvl w:val="0"/>
          <w:numId w:val="46"/>
        </w:numPr>
        <w:shd w:val="clear" w:color="auto" w:fill="FFFFFF"/>
        <w:tabs>
          <w:tab w:val="left" w:pos="180"/>
          <w:tab w:val="left" w:pos="870"/>
        </w:tabs>
        <w:spacing w:after="0" w:line="240" w:lineRule="auto"/>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composition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financial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system in Germany</w:t>
      </w:r>
      <w:r w:rsidRPr="0068182D">
        <w:rPr>
          <w:rFonts w:ascii="Times New Roman" w:hAnsi="Times New Roman" w:cs="Times New Roman"/>
          <w:b/>
          <w:sz w:val="28"/>
          <w:szCs w:val="28"/>
          <w:lang w:val="en-US"/>
        </w:rPr>
        <w:t>.</w:t>
      </w:r>
    </w:p>
    <w:p w:rsidR="004379E3" w:rsidRPr="0068182D" w:rsidRDefault="004379E3" w:rsidP="000537F4">
      <w:pPr>
        <w:pStyle w:val="a4"/>
        <w:numPr>
          <w:ilvl w:val="0"/>
          <w:numId w:val="46"/>
        </w:numPr>
        <w:spacing w:after="0" w:line="240" w:lineRule="auto"/>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budget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budget structure</w:t>
      </w:r>
      <w:r w:rsidRPr="0068182D">
        <w:rPr>
          <w:rFonts w:ascii="Times New Roman" w:hAnsi="Times New Roman" w:cs="Times New Roman"/>
          <w:b/>
          <w:sz w:val="28"/>
          <w:szCs w:val="28"/>
          <w:lang w:val="en-US"/>
        </w:rPr>
        <w:t>.</w:t>
      </w:r>
      <w:r w:rsidRPr="0068182D">
        <w:rPr>
          <w:rStyle w:val="hps"/>
          <w:rFonts w:ascii="Times New Roman" w:hAnsi="Times New Roman" w:cs="Times New Roman"/>
          <w:b/>
          <w:sz w:val="28"/>
          <w:szCs w:val="28"/>
          <w:lang w:val="en-US"/>
        </w:rPr>
        <w:t xml:space="preserve"> </w:t>
      </w:r>
    </w:p>
    <w:p w:rsidR="00FF2DA0" w:rsidRPr="0068182D" w:rsidRDefault="004379E3" w:rsidP="000537F4">
      <w:pPr>
        <w:pStyle w:val="a4"/>
        <w:numPr>
          <w:ilvl w:val="0"/>
          <w:numId w:val="46"/>
        </w:numPr>
        <w:spacing w:after="0" w:line="240" w:lineRule="auto"/>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Distribution of powers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between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federation,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Lander</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local authorities</w:t>
      </w:r>
      <w:r w:rsidRPr="0068182D">
        <w:rPr>
          <w:rFonts w:ascii="Times New Roman" w:hAnsi="Times New Roman" w:cs="Times New Roman"/>
          <w:b/>
          <w:sz w:val="28"/>
          <w:szCs w:val="28"/>
          <w:lang w:val="en-US"/>
        </w:rPr>
        <w:t>.</w:t>
      </w:r>
    </w:p>
    <w:p w:rsidR="00FF2DA0" w:rsidRPr="0068182D" w:rsidRDefault="004379E3" w:rsidP="000537F4">
      <w:pPr>
        <w:pStyle w:val="a4"/>
        <w:numPr>
          <w:ilvl w:val="0"/>
          <w:numId w:val="46"/>
        </w:numPr>
        <w:spacing w:after="0" w:line="240" w:lineRule="auto"/>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tax system</w:t>
      </w:r>
      <w:r w:rsidRPr="0068182D">
        <w:rPr>
          <w:rFonts w:ascii="Times New Roman" w:hAnsi="Times New Roman" w:cs="Times New Roman"/>
          <w:b/>
          <w:sz w:val="28"/>
          <w:szCs w:val="28"/>
          <w:lang w:val="en-US"/>
        </w:rPr>
        <w:t xml:space="preserve">: structure, </w:t>
      </w:r>
      <w:r w:rsidRPr="0068182D">
        <w:rPr>
          <w:rStyle w:val="hps"/>
          <w:rFonts w:ascii="Times New Roman" w:hAnsi="Times New Roman" w:cs="Times New Roman"/>
          <w:b/>
          <w:sz w:val="28"/>
          <w:szCs w:val="28"/>
          <w:lang w:val="en-US"/>
        </w:rPr>
        <w:t>specifics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 the main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types of taxes</w:t>
      </w:r>
      <w:r w:rsidRPr="0068182D">
        <w:rPr>
          <w:rFonts w:ascii="Times New Roman" w:hAnsi="Times New Roman" w:cs="Times New Roman"/>
          <w:b/>
          <w:sz w:val="28"/>
          <w:szCs w:val="28"/>
          <w:lang w:val="en-US"/>
        </w:rPr>
        <w:t>.</w:t>
      </w:r>
    </w:p>
    <w:p w:rsidR="004379E3" w:rsidRPr="0068182D" w:rsidRDefault="004379E3" w:rsidP="000537F4">
      <w:pPr>
        <w:pStyle w:val="a4"/>
        <w:numPr>
          <w:ilvl w:val="0"/>
          <w:numId w:val="46"/>
        </w:numPr>
        <w:spacing w:after="0" w:line="240" w:lineRule="auto"/>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Fiscal Federalism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German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experience</w:t>
      </w:r>
    </w:p>
    <w:p w:rsidR="004379E3" w:rsidRPr="0068182D" w:rsidRDefault="004379E3" w:rsidP="00C40532">
      <w:pPr>
        <w:spacing w:after="0" w:line="240" w:lineRule="auto"/>
        <w:rPr>
          <w:rStyle w:val="hps"/>
          <w:rFonts w:ascii="Times New Roman" w:hAnsi="Times New Roman" w:cs="Times New Roman"/>
          <w:sz w:val="28"/>
          <w:szCs w:val="28"/>
          <w:lang w:val="en-US"/>
        </w:rPr>
      </w:pP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Since the bulk of media and political attention has moved away from private financial institutions to focus on public debt issues, Germany has slowly secured a position as the key political actor in Europe. Political stability, sound public finance, and a strong trade surplus constitute what is widely regarded as a great economic success in the EU. But one should remember that in 2008, when the financial crisis hit Europe, German banks seemed the most fragile, and the government had to proceed to massive recapitalisations. To try to understand the world of German finance, our guest blogger Fabien Hassan, who is presently living in Berlin, comes back to the organisation of German banking.</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A conservative banking system?</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activity of banking is supposed to be very simple: gathering deposits, and lending money. If you think of it that way, German Banks should have a competitive advantage because they are sitting on a pile of money. Since 2006, German households have been saving around 25% of their income. The comparison with other big economies is striking: in 2012, the French, the Italian and the Spaniards saved around 18%. In the UK, it’s a mere 10.8% (OECD, 2013).</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Theoretically, one might think that a higher saving rate might lead to improved financial stability. Yet, banking is now infinitely more complicated than that. In the 1960s, American bankers had an old saying that their profession was governed by the 3-6-3 Rule. Bankers would give 3% interest on depositors' accounts, lend the depositors money at 6% interest and then be playing golf at 3pm. In a way, the 3-6-3 rule still defines what one could call conservative banking. It is uncompetitive, risk-adverse, only moderately profitable, and possibly even boring. In the United States, there is a lot of literature on the sociological defeat of the old style of conservative banking, to the benefit of risk-taking traders and math geniuses. By contrast, German banks are still widely perceived as conservative, even though they embraced speculative market activities to the same extent as their European and American competitors.</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But if German finance is so conservative, why did the government have to commit 9.1% of its GDP to bank bailouts and recapitalisations? In October 2008, the German federal government established the Sonderfonds Finanzmarktstabilisierung (SoFFin), a €480 billion rescue package to provide guarantees and recapitalization.</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This revived an old controversy on the merits of the German banking system, and its main feature, the so-called “three pillars”. At this point, the debate is still open. Did it prove a resilient system that helped Germany resist a crisis that would have otherwise been worse? Or did it fail, forcing the government to bail out banks which should never have been so fragile, in a country with such a strong financial position?</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three-pillar system</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German banking system is characterised by an original three-pillar structure, composed of private commercial banks, public banks and cooperative banks:</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Private commercial banks. There are around 300 private banks in Germany but until the crisis, five major banks used to dominate the private sector: Commerzbank, Dresdner Bank, Deutsche Bank, Deutsche Postbank AG, and HypoVereinsbank. Those banks are highly internationalised, and focus on business clients and market activities. In total, the German commercial private sector represented only 36% of total assets in 2010 (Brämer &amp; ali., 2011).</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During the crisis, the bigger banks came very close to bankruptcy, and had to be saved through publicly-overseen restructurings. Dresdner Bank and Deutsche Postbank AG were respectively taken over by Commerzbank and Deutsche Bank. So there are now only three major leaders. Commerzbank, in which the German State now owns 17%, is still trying to manage the consequences of the crisis and has only made a small profit for the first time since 2008 in 2013.</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Public banks. The public banking sector is organised territorially and vertically: cities and local authorities own local Sparkassen, while Länder (regions) own Landesbanken. Other institutions include development banks, in German promotional banks (Förderbanken). German public banks aim to “complement the market where the state regards free market outcomes as insufficient and hence not socially acceptable” (VÖB, 2014). In 2001, the European Commission decided to put an end to the German system of state guarantees for public-law credit institutions (Anstaltslast and Gewährträgerhaftung), which was considered an illegal state aid because it resulted in cheaper funding. In 2001-02, a deal was found between German authorities, public banks, and the Commission. As a result, German law had to be changed and approximately 600 public banks made the transition to being without explicit state guarantees.</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How did that pillar resist the financial crisis? The resilience of Sparkassen has been remarkable. Of course, in 2008, they lost money. But as early as 2009, profits were already as high as 2007, while commercial banks were still losing money. To be fair, profits have never been very high in the public sector, which is logical since maximisation of profit is not the main objective.</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In stark contrast with local banks, regional banks, or Landesbanken, accumulated large amounts of losses which required deep restructuring and state interventions. Most famously, the bank of Baden-Württemberg had to take over the bank of Saxony, which was profoundly involved in the subprime crisis through an Irish subsidy. How and why public entities engaged in massive speculation on risky products fuelled a big controversy in Germany. Most Landesbanken had unstable structures of wholesale financing, excessively dependent on short-term funding. Consumers and small businesses were appalled by the behaviour of their local bankers, who put so much insistence on trust and differentiation with private-sector giants like DB. Part of the explanation may lie in a loophole induced by the transition arrangements implemented by the Commission in 2001. “For liabilities created between 19 July 2001 and 18 July 2005, Gewährträgerhaftung [state guarantee] will be maintained only for those maturing before the end of 2015” (European Commission, 2001). So between 2001 and 2005, with a strong acceleration after 2003, some Landesbanken borrowed as much as possible with public guarantee, and used that money to speculate. They thought that this strategy might help to smooth the transition.</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There is now an academic and political debate on the future of Landesbanken. Is it just that governance was too lax, and favoured excessive risk-taking? In any case, public banks have maintained a strong position: at the end of 2012, they still had an overall market share of 36% (VÖB, 2014).</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Cooperative banks. They are the most numerous: 1,162 in 2010 (Brämer &amp; ali., 2011). They are owned by their customers and follow the cooperative principle of one person, one vote. They mostly aim to serve the interests of their members, usually farmers or small businesses. It does not prevent them from trying to make profits by providing services such as savings and loans to members as well as to non-members, which represent about half of their customers.</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Obviously, cooperative banking was not directly impacted by the global turmoil of 2008. Considering the state of the economy, cooperative banks did remarkably well. Even in 2008, the worst year of the crisis, they managed to make a small profit. In 2012, net profits reached EUR 6.9 billion. The difficulties of the major banks and the moral disapprobation of customers benefited cooperative banks.</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For regulators, an important issue now is the impact of new regulation on cooperative banking, including recognition of the special nature of their share capital (BVR, 2012).</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 xml:space="preserve"> </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A tradition of self-regulation</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Germany has more banks than any other country in the EU. In the 1990s, that dispersion was considered a drawback for the economy. Everywhere in the EU, the number of banks has been constantly declining. But in Germany, that movement was extremely strong. There were 4,582 banks in 1990, and only 1,898 in 2011. Despite that concentration, in 2011, 24% of the banks in the EU are German. On average, they are small, and they own 18% of total EU-27 assets (EBF, 2013). According to an IMF technical note, the high number of banks “is somewhat misleading because the public sector and cooperative banks are closely linked to one another within their respective pillars, through mutual guarantees, the “regional principle,” joint operation of certain businesses and back-office facilities, and the presence of apex institutions, such as the Landesbanken for the Sparkassen”.</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number of banks and the decentralised political system of federal Germany help explain the strong tradition of self-regulation. Bankers continue to behave not only according to principles of law, but also to sectorial agreements. For example, cooperative banks are not legally bound anymore by the principal of territoriality, which keeps them from collecting deposits or giving out loans outside of a certain area. But in practice, they still abide by the rule.</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Another important example is the deposit protection scheme. Each of the four banking associations has implemented voluntary schemes, which go beyond the European minimum of EUR 100,000. For example, the Association of German Banks (Bankenverband) secures up to a ceiling of 30% of the relevant liable capital of each bank. This is why they opposed some parts of the proposed Banking Union: German banks are reluctant to move to an integrated European scheme. They believe that their own system has proved more efficient, and that since their system is not purely law-based, it cannot be transplanted as such, and will require a lot of adaptations. Furthermore, the competition from public institutions has made German banks structurally less profitable than the European average, which provides fewer margins for stronger regulatory requirements.</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 xml:space="preserve"> </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German fondness to its banking system</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three-pillar system has survived the financial crisis. Now it faces a new challenge: adapt to the regulatory changes that are and will continue to be implemented to restore the stability of the European financial industry. In the crisis, German banks have had mixed results. But the problems were essentially the same as everywhere else: excessive risk-taking, and speculative activities that were completely out of line.</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However, despite the scandals involving some of the major Landesbanken, the Germans have proven their attachment to the three-pillar system. Indeed, not all Landesbanken have behaved like the Saxon one. More importantly, small and medium-sized businesses, which are often pinpointed as the great success of the German economic model, largely continue to rely on financing from cooperative and public banks (see forthcoming article). To understand Germany’s stance on debates such as Banking Union, and in particular why Landesbanken have opposed common supervision and higher capital ratios, it is essential to keep in mind the peculiarities of a banking system which, to a large extent, is not or at least should not be entirely ruled by the maximisation of profits.</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Generally, most observers recognize that the reforms of the 1990s have addressed most of the shortcomings of public governance. Therefore, assessments are usually positive: “German consumers and firms benefit from a system that provides good range and availability of financial services. […]. Thus, German intermediaries may be able to increase social welfare through the provision of services and intertemporal smoothing of returns that a more short-term oriented market has limited incentive to provide” (IMF, 2011).</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 xml:space="preserve"> </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Lessons from the German banking system</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What can be learned from the analysis of the resilience and the fragilities of German banks during the crisis?</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First, banks that do not exclusively seek profit are useful to society. Small businesses and consumers benefit from the presence of alternative sources of funding, like public and cooperative banks. German politicians and bankers acknowledge the existence of market failures. This is why despite 25 years of constant reform, “the level of public involvement in the system remains substantially unchanged and continues to be much higher than in other EU countries” (IMF, 2011).</w:t>
      </w:r>
    </w:p>
    <w:p w:rsidR="004379E3" w:rsidRPr="0068182D" w:rsidRDefault="004379E3" w:rsidP="00BE3110">
      <w:pPr>
        <w:spacing w:after="0" w:line="240" w:lineRule="auto"/>
        <w:ind w:firstLine="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second lesson is that despite that diversity, different types of banks have taken excessive risks during the crisis. Regulation should therefore to the maximum extent possible treat all banks equally.</w:t>
      </w:r>
    </w:p>
    <w:p w:rsidR="004379E3" w:rsidRPr="0068182D" w:rsidRDefault="004379E3" w:rsidP="00BE3110">
      <w:pPr>
        <w:spacing w:after="0" w:line="240" w:lineRule="auto"/>
        <w:ind w:firstLine="709"/>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Finally, it is interesting to notice that European competition authorities removed formal public guarantee for public banks in 2001, based on strong arguments of unfair competition. But the massive government recapitalisations of 2008 show that there is still an implicit guarantee, and that it foremost benefits private commercial banks. The outcome is a highly unsatisfying paradox: one may wonder why public banks, which are legally bound to pursue public interest, are now less protected than private ‘too-big-to-fail’ institutions which only seek their own profit. In this sense, Germany, as all members of the EU, would clearly benefit from a reform of the EU banking structure, as advocated by Finance Watch, among others.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FF2DA0" w:rsidRPr="0068182D" w:rsidRDefault="00FF2DA0"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Control questions</w:t>
      </w:r>
    </w:p>
    <w:p w:rsidR="00FF2DA0" w:rsidRPr="0068182D" w:rsidRDefault="00FF2DA0" w:rsidP="000537F4">
      <w:pPr>
        <w:pStyle w:val="a4"/>
        <w:numPr>
          <w:ilvl w:val="0"/>
          <w:numId w:val="47"/>
        </w:numPr>
        <w:shd w:val="clear" w:color="auto" w:fill="FFFFFF"/>
        <w:tabs>
          <w:tab w:val="left" w:pos="180"/>
          <w:tab w:val="left" w:pos="870"/>
        </w:tabs>
        <w:spacing w:after="0" w:line="240" w:lineRule="auto"/>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economic 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political situation in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modern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Germany</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Its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role and place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 the European Union</w:t>
      </w:r>
      <w:r w:rsidRPr="0068182D">
        <w:rPr>
          <w:rFonts w:ascii="Times New Roman" w:hAnsi="Times New Roman" w:cs="Times New Roman"/>
          <w:sz w:val="28"/>
          <w:szCs w:val="28"/>
          <w:lang w:val="en-US"/>
        </w:rPr>
        <w:t>.</w:t>
      </w:r>
    </w:p>
    <w:p w:rsidR="00FF2DA0" w:rsidRPr="0068182D" w:rsidRDefault="00FF2DA0" w:rsidP="000537F4">
      <w:pPr>
        <w:pStyle w:val="a4"/>
        <w:numPr>
          <w:ilvl w:val="0"/>
          <w:numId w:val="47"/>
        </w:numPr>
        <w:shd w:val="clear" w:color="auto" w:fill="FFFFFF"/>
        <w:tabs>
          <w:tab w:val="left" w:pos="180"/>
          <w:tab w:val="left" w:pos="870"/>
        </w:tabs>
        <w:spacing w:after="0" w:line="240" w:lineRule="auto"/>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composition 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characteristics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financial</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system in Germany</w:t>
      </w:r>
      <w:r w:rsidRPr="0068182D">
        <w:rPr>
          <w:rFonts w:ascii="Times New Roman" w:hAnsi="Times New Roman" w:cs="Times New Roman"/>
          <w:sz w:val="28"/>
          <w:szCs w:val="28"/>
          <w:lang w:val="en-US"/>
        </w:rPr>
        <w:t>.</w:t>
      </w:r>
    </w:p>
    <w:p w:rsidR="00FF2DA0" w:rsidRPr="0068182D" w:rsidRDefault="00FF2DA0" w:rsidP="000537F4">
      <w:pPr>
        <w:pStyle w:val="a4"/>
        <w:numPr>
          <w:ilvl w:val="0"/>
          <w:numId w:val="47"/>
        </w:numPr>
        <w:spacing w:after="0" w:line="240" w:lineRule="auto"/>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budget 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budget structure</w:t>
      </w:r>
      <w:r w:rsidRPr="0068182D">
        <w:rPr>
          <w:rFonts w:ascii="Times New Roman" w:hAnsi="Times New Roman" w:cs="Times New Roman"/>
          <w:sz w:val="28"/>
          <w:szCs w:val="28"/>
          <w:lang w:val="en-US"/>
        </w:rPr>
        <w:t>.</w:t>
      </w:r>
      <w:r w:rsidRPr="0068182D">
        <w:rPr>
          <w:rStyle w:val="hps"/>
          <w:rFonts w:ascii="Times New Roman" w:hAnsi="Times New Roman" w:cs="Times New Roman"/>
          <w:sz w:val="28"/>
          <w:szCs w:val="28"/>
          <w:lang w:val="en-US"/>
        </w:rPr>
        <w:t xml:space="preserve"> </w:t>
      </w:r>
    </w:p>
    <w:p w:rsidR="00FF2DA0" w:rsidRPr="0068182D" w:rsidRDefault="00FF2DA0" w:rsidP="000537F4">
      <w:pPr>
        <w:pStyle w:val="a4"/>
        <w:numPr>
          <w:ilvl w:val="0"/>
          <w:numId w:val="47"/>
        </w:numPr>
        <w:spacing w:after="0" w:line="240" w:lineRule="auto"/>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Distribution of powers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between the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federation, the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Lander</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and local authorities</w:t>
      </w:r>
      <w:r w:rsidRPr="0068182D">
        <w:rPr>
          <w:rFonts w:ascii="Times New Roman" w:hAnsi="Times New Roman" w:cs="Times New Roman"/>
          <w:sz w:val="28"/>
          <w:szCs w:val="28"/>
          <w:lang w:val="en-US"/>
        </w:rPr>
        <w:t>.</w:t>
      </w:r>
    </w:p>
    <w:p w:rsidR="00FF2DA0" w:rsidRPr="0068182D" w:rsidRDefault="00FF2DA0" w:rsidP="000537F4">
      <w:pPr>
        <w:pStyle w:val="a4"/>
        <w:numPr>
          <w:ilvl w:val="0"/>
          <w:numId w:val="47"/>
        </w:numPr>
        <w:spacing w:after="0" w:line="240" w:lineRule="auto"/>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tax system</w:t>
      </w:r>
      <w:r w:rsidRPr="0068182D">
        <w:rPr>
          <w:rFonts w:ascii="Times New Roman" w:hAnsi="Times New Roman" w:cs="Times New Roman"/>
          <w:sz w:val="28"/>
          <w:szCs w:val="28"/>
          <w:lang w:val="en-US"/>
        </w:rPr>
        <w:t xml:space="preserve">: structure, </w:t>
      </w:r>
      <w:r w:rsidRPr="0068182D">
        <w:rPr>
          <w:rStyle w:val="hps"/>
          <w:rFonts w:ascii="Times New Roman" w:hAnsi="Times New Roman" w:cs="Times New Roman"/>
          <w:sz w:val="28"/>
          <w:szCs w:val="28"/>
          <w:lang w:val="en-US"/>
        </w:rPr>
        <w:t>specifics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characteristics of the main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types of taxes</w:t>
      </w:r>
      <w:r w:rsidRPr="0068182D">
        <w:rPr>
          <w:rFonts w:ascii="Times New Roman" w:hAnsi="Times New Roman" w:cs="Times New Roman"/>
          <w:sz w:val="28"/>
          <w:szCs w:val="28"/>
          <w:lang w:val="en-US"/>
        </w:rPr>
        <w:t>.</w:t>
      </w:r>
    </w:p>
    <w:p w:rsidR="00FF2DA0" w:rsidRPr="0068182D" w:rsidRDefault="00FF2DA0" w:rsidP="000537F4">
      <w:pPr>
        <w:pStyle w:val="a4"/>
        <w:numPr>
          <w:ilvl w:val="0"/>
          <w:numId w:val="47"/>
        </w:numPr>
        <w:spacing w:after="0" w:line="240" w:lineRule="auto"/>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Fiscal Federalism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German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experience</w:t>
      </w:r>
    </w:p>
    <w:p w:rsidR="00FF2DA0" w:rsidRPr="0068182D" w:rsidRDefault="00FF2DA0" w:rsidP="00C40532">
      <w:pPr>
        <w:shd w:val="clear" w:color="auto" w:fill="FFFFFF"/>
        <w:tabs>
          <w:tab w:val="left" w:pos="180"/>
        </w:tabs>
        <w:spacing w:after="0" w:line="240" w:lineRule="auto"/>
        <w:jc w:val="center"/>
        <w:rPr>
          <w:rStyle w:val="hps"/>
          <w:rFonts w:ascii="Times New Roman" w:hAnsi="Times New Roman" w:cs="Times New Roman"/>
          <w:b/>
          <w:sz w:val="28"/>
          <w:szCs w:val="28"/>
          <w:lang w:val="en-US"/>
        </w:rPr>
      </w:pPr>
    </w:p>
    <w:p w:rsidR="00FF2DA0" w:rsidRPr="0068182D" w:rsidRDefault="00FF2DA0" w:rsidP="00C40532">
      <w:pPr>
        <w:shd w:val="clear" w:color="auto" w:fill="FFFFFF"/>
        <w:tabs>
          <w:tab w:val="left" w:pos="180"/>
        </w:tabs>
        <w:spacing w:after="0" w:line="240" w:lineRule="auto"/>
        <w:jc w:val="center"/>
        <w:rPr>
          <w:rStyle w:val="hps"/>
          <w:rFonts w:ascii="Times New Roman" w:hAnsi="Times New Roman" w:cs="Times New Roman"/>
          <w:b/>
          <w:sz w:val="28"/>
          <w:szCs w:val="28"/>
          <w:lang w:val="en-US"/>
        </w:rPr>
      </w:pPr>
    </w:p>
    <w:p w:rsidR="004379E3" w:rsidRPr="0068182D" w:rsidRDefault="004379E3" w:rsidP="00C40532">
      <w:pPr>
        <w:shd w:val="clear" w:color="auto" w:fill="FFFFFF"/>
        <w:tabs>
          <w:tab w:val="left" w:pos="180"/>
        </w:tabs>
        <w:spacing w:after="0" w:line="240" w:lineRule="auto"/>
        <w:jc w:val="center"/>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w:t>
      </w:r>
      <w:r w:rsidR="008E2EAF">
        <w:rPr>
          <w:rStyle w:val="hps"/>
          <w:rFonts w:ascii="Times New Roman" w:hAnsi="Times New Roman" w:cs="Times New Roman"/>
          <w:b/>
          <w:sz w:val="28"/>
          <w:szCs w:val="28"/>
          <w:lang w:val="en-US"/>
        </w:rPr>
        <w:t>heme</w:t>
      </w:r>
      <w:r w:rsidRPr="0068182D">
        <w:rPr>
          <w:rStyle w:val="hps"/>
          <w:rFonts w:ascii="Times New Roman" w:hAnsi="Times New Roman" w:cs="Times New Roman"/>
          <w:b/>
          <w:sz w:val="28"/>
          <w:szCs w:val="28"/>
          <w:lang w:val="en-US"/>
        </w:rPr>
        <w:t xml:space="preserve"> 6.</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Fundamentals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operation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public finances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France</w:t>
      </w:r>
    </w:p>
    <w:p w:rsidR="004379E3" w:rsidRPr="0068182D" w:rsidRDefault="004379E3" w:rsidP="00C40532">
      <w:pPr>
        <w:shd w:val="clear" w:color="auto" w:fill="FFFFFF"/>
        <w:tabs>
          <w:tab w:val="left" w:pos="180"/>
        </w:tabs>
        <w:spacing w:after="0" w:line="240" w:lineRule="auto"/>
        <w:ind w:firstLine="34"/>
        <w:jc w:val="both"/>
        <w:rPr>
          <w:rStyle w:val="hps"/>
          <w:rFonts w:ascii="Times New Roman" w:hAnsi="Times New Roman" w:cs="Times New Roman"/>
          <w:b/>
          <w:sz w:val="28"/>
          <w:szCs w:val="28"/>
          <w:lang w:val="en-US"/>
        </w:rPr>
      </w:pPr>
    </w:p>
    <w:p w:rsidR="004379E3" w:rsidRPr="0068182D" w:rsidRDefault="004379E3" w:rsidP="00C40532">
      <w:pPr>
        <w:shd w:val="clear" w:color="auto" w:fill="FFFFFF"/>
        <w:tabs>
          <w:tab w:val="left" w:pos="180"/>
        </w:tabs>
        <w:spacing w:after="0" w:line="240" w:lineRule="auto"/>
        <w:ind w:firstLine="34"/>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1.</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economic situation in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France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today.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composition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units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financial system</w:t>
      </w:r>
    </w:p>
    <w:p w:rsidR="004379E3" w:rsidRPr="0068182D" w:rsidRDefault="004379E3" w:rsidP="00C40532">
      <w:pPr>
        <w:shd w:val="clear" w:color="auto" w:fill="FFFFFF"/>
        <w:tabs>
          <w:tab w:val="left" w:pos="180"/>
        </w:tabs>
        <w:spacing w:after="0" w:line="240" w:lineRule="auto"/>
        <w:jc w:val="both"/>
        <w:rPr>
          <w:rFonts w:ascii="Times New Roman" w:hAnsi="Times New Roman" w:cs="Times New Roman"/>
          <w:b/>
          <w:spacing w:val="-9"/>
          <w:sz w:val="28"/>
          <w:szCs w:val="28"/>
          <w:lang w:val="en-US"/>
        </w:rPr>
      </w:pPr>
      <w:r w:rsidRPr="0068182D">
        <w:rPr>
          <w:rStyle w:val="hps"/>
          <w:rFonts w:ascii="Times New Roman" w:hAnsi="Times New Roman" w:cs="Times New Roman"/>
          <w:b/>
          <w:sz w:val="28"/>
          <w:szCs w:val="28"/>
          <w:lang w:val="en-US"/>
        </w:rPr>
        <w:t>2.</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State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France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composition and structure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income and expenses</w:t>
      </w:r>
      <w:r w:rsidRPr="0068182D">
        <w:rPr>
          <w:rFonts w:ascii="Times New Roman" w:hAnsi="Times New Roman" w:cs="Times New Roman"/>
          <w:b/>
          <w:sz w:val="28"/>
          <w:szCs w:val="28"/>
          <w:lang w:val="en-US"/>
        </w:rPr>
        <w:t>.</w:t>
      </w:r>
      <w:r w:rsidRPr="0068182D">
        <w:rPr>
          <w:rFonts w:ascii="Times New Roman" w:hAnsi="Times New Roman" w:cs="Times New Roman"/>
          <w:b/>
          <w:sz w:val="28"/>
          <w:szCs w:val="28"/>
          <w:lang w:val="en-US"/>
        </w:rPr>
        <w:br/>
      </w:r>
      <w:r w:rsidRPr="0068182D">
        <w:rPr>
          <w:rStyle w:val="hps"/>
          <w:rFonts w:ascii="Times New Roman" w:hAnsi="Times New Roman" w:cs="Times New Roman"/>
          <w:b/>
          <w:sz w:val="28"/>
          <w:szCs w:val="28"/>
          <w:lang w:val="en-US"/>
        </w:rPr>
        <w:t>3. State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budget funds.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Attached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budgets.</w:t>
      </w:r>
    </w:p>
    <w:p w:rsidR="004379E3" w:rsidRPr="0068182D" w:rsidRDefault="004379E3" w:rsidP="00C40532">
      <w:pPr>
        <w:shd w:val="clear" w:color="auto" w:fill="FFFFFF"/>
        <w:spacing w:after="0" w:line="240" w:lineRule="auto"/>
        <w:ind w:right="22"/>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4.</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composition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revenues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expenditures of local budgets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their importance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financing</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social infrastructure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area</w:t>
      </w:r>
    </w:p>
    <w:p w:rsidR="004379E3" w:rsidRPr="0068182D" w:rsidRDefault="004379E3" w:rsidP="00C40532">
      <w:pPr>
        <w:shd w:val="clear" w:color="auto" w:fill="FFFFFF"/>
        <w:spacing w:after="0" w:line="240" w:lineRule="auto"/>
        <w:ind w:right="22"/>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Specifics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tax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 the main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types of taxes</w:t>
      </w:r>
      <w:r w:rsidRPr="0068182D">
        <w:rPr>
          <w:rFonts w:ascii="Times New Roman" w:hAnsi="Times New Roman" w:cs="Times New Roman"/>
          <w:b/>
          <w:sz w:val="28"/>
          <w:szCs w:val="28"/>
          <w:lang w:val="en-US"/>
        </w:rPr>
        <w:t>.</w:t>
      </w:r>
    </w:p>
    <w:p w:rsidR="004379E3" w:rsidRPr="0068182D" w:rsidRDefault="004379E3" w:rsidP="00C40532">
      <w:pPr>
        <w:shd w:val="clear" w:color="auto" w:fill="FFFFFF"/>
        <w:spacing w:after="0" w:line="240" w:lineRule="auto"/>
        <w:ind w:right="22"/>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6.</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Problems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functioning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French</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public finances and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problems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at the present stage</w:t>
      </w:r>
    </w:p>
    <w:p w:rsidR="004379E3" w:rsidRPr="0068182D" w:rsidRDefault="004379E3" w:rsidP="00C40532">
      <w:pPr>
        <w:shd w:val="clear" w:color="auto" w:fill="FFFFFF"/>
        <w:tabs>
          <w:tab w:val="left" w:pos="180"/>
        </w:tabs>
        <w:spacing w:after="0" w:line="240" w:lineRule="auto"/>
        <w:jc w:val="both"/>
        <w:rPr>
          <w:rStyle w:val="hps"/>
          <w:rFonts w:ascii="Times New Roman" w:hAnsi="Times New Roman" w:cs="Times New Roman"/>
          <w:b/>
          <w:sz w:val="28"/>
          <w:szCs w:val="28"/>
          <w:lang w:val="en-US"/>
        </w:rPr>
      </w:pPr>
    </w:p>
    <w:p w:rsidR="004379E3" w:rsidRPr="0068182D" w:rsidRDefault="004379E3" w:rsidP="00C40532">
      <w:pPr>
        <w:shd w:val="clear" w:color="auto" w:fill="FFFFFF"/>
        <w:tabs>
          <w:tab w:val="left" w:pos="426"/>
        </w:tabs>
        <w:spacing w:after="0" w:line="240" w:lineRule="auto"/>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ab/>
        <w:t>1.</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economic situation in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France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today.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composition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units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the financial system</w:t>
      </w:r>
    </w:p>
    <w:p w:rsidR="004379E3" w:rsidRPr="0068182D" w:rsidRDefault="004379E3" w:rsidP="00C40532">
      <w:pPr>
        <w:tabs>
          <w:tab w:val="left" w:pos="567"/>
        </w:tabs>
        <w:spacing w:after="0" w:line="240" w:lineRule="auto"/>
        <w:jc w:val="both"/>
        <w:rPr>
          <w:rFonts w:ascii="Times New Roman" w:hAnsi="Times New Roman" w:cs="Times New Roman"/>
          <w:sz w:val="28"/>
          <w:szCs w:val="28"/>
          <w:shd w:val="clear" w:color="auto" w:fill="FFFFFF"/>
          <w:lang w:val="en-US"/>
        </w:rPr>
      </w:pPr>
      <w:r w:rsidRPr="0068182D">
        <w:rPr>
          <w:rFonts w:ascii="Times New Roman" w:hAnsi="Times New Roman" w:cs="Times New Roman"/>
          <w:sz w:val="28"/>
          <w:szCs w:val="28"/>
          <w:lang w:val="en-US"/>
        </w:rPr>
        <w:tab/>
      </w:r>
      <w:r w:rsidRPr="0068182D">
        <w:rPr>
          <w:rFonts w:ascii="Times New Roman" w:hAnsi="Times New Roman" w:cs="Times New Roman"/>
          <w:sz w:val="28"/>
          <w:szCs w:val="28"/>
          <w:shd w:val="clear" w:color="auto" w:fill="FFFFFF"/>
          <w:lang w:val="en-US"/>
        </w:rPr>
        <w:t>France is one of the most richly endowed countries of Europe. The favorable climate, extensive areas of rich soil, and long-established tradition of skilled agriculture have created ideal conditions for a thriving farm economy. Agriculture and the agro-food industries account for a larger share of economic activity than in many other west European nations. Large deposits of iron ore, a wellintegrated network of power plants, important domestic reserves of natural gas, good transport, and high standards of industrial workmanship have made the French industrial complex one of the most modern in Europe.</w:t>
      </w:r>
    </w:p>
    <w:p w:rsidR="004379E3" w:rsidRPr="0068182D" w:rsidRDefault="004379E3" w:rsidP="00C40532">
      <w:pPr>
        <w:tabs>
          <w:tab w:val="left" w:pos="567"/>
        </w:tabs>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shd w:val="clear" w:color="auto" w:fill="FFFFFF"/>
          <w:lang w:val="en-US"/>
        </w:rPr>
        <w:tab/>
      </w:r>
      <w:r w:rsidRPr="0068182D">
        <w:rPr>
          <w:rFonts w:ascii="Times New Roman" w:hAnsi="Times New Roman" w:cs="Times New Roman"/>
          <w:sz w:val="28"/>
          <w:szCs w:val="28"/>
          <w:lang w:val="en-US"/>
        </w:rPr>
        <w:t>After World War II, France's economy was stronger than it had been in the period between the two world wars. But on the debit side were the extremely high costs of France's colonial campaigns in Indochina and North Africa; the periodic lack of confidence of French investors in the nation's economy, resulting in the largescale flight of funds; and the successive devaluations of the franc.</w:t>
      </w:r>
    </w:p>
    <w:p w:rsidR="004379E3" w:rsidRPr="0068182D" w:rsidRDefault="004379E3" w:rsidP="00C40532">
      <w:pPr>
        <w:tabs>
          <w:tab w:val="left" w:pos="567"/>
        </w:tabs>
        <w:spacing w:after="0" w:line="240" w:lineRule="auto"/>
        <w:jc w:val="both"/>
        <w:rPr>
          <w:rFonts w:ascii="Times New Roman" w:hAnsi="Times New Roman" w:cs="Times New Roman"/>
          <w:sz w:val="28"/>
          <w:szCs w:val="28"/>
          <w:shd w:val="clear" w:color="auto" w:fill="FFFFFF"/>
          <w:lang w:val="en-US"/>
        </w:rPr>
      </w:pPr>
      <w:r w:rsidRPr="0068182D">
        <w:rPr>
          <w:rFonts w:ascii="Times New Roman" w:hAnsi="Times New Roman" w:cs="Times New Roman"/>
          <w:sz w:val="28"/>
          <w:szCs w:val="28"/>
          <w:lang w:val="en-US"/>
        </w:rPr>
        <w:tab/>
        <w:t>Through most of the 1960s and early 1970s, the French economy expanded steadily, with</w:t>
      </w:r>
      <w:r w:rsidRPr="0068182D">
        <w:rPr>
          <w:rStyle w:val="apple-converted-space"/>
          <w:rFonts w:ascii="Times New Roman" w:hAnsi="Times New Roman" w:cs="Times New Roman"/>
          <w:sz w:val="28"/>
          <w:szCs w:val="28"/>
          <w:lang w:val="en-US"/>
        </w:rPr>
        <w:t> </w:t>
      </w:r>
      <w:hyperlink r:id="rId85" w:history="1">
        <w:r w:rsidRPr="0068182D">
          <w:rPr>
            <w:rStyle w:val="a5"/>
            <w:rFonts w:ascii="Times New Roman" w:hAnsi="Times New Roman" w:cs="Times New Roman"/>
            <w:sz w:val="28"/>
            <w:szCs w:val="28"/>
            <w:lang w:val="en-US"/>
          </w:rPr>
          <w:t>GDP</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more than doubling between 1959 and 1967. However, the international oil crisis of 1974 led to a sharp rise in import costs; the resulting inflation eroded real growth to about 3% annually between 1977 and 1979. Further oil price increases in 1979–80 marked the beginning of a prolonged recession, with high inflation, high unemployment, balance-of-payments deficits, declining private investment, and shortages in foreign exchange reserves. However, GDP grew by an annual average of 2.5% between 1984 and 1991. During the early 1990s, GDP expanded by an average 2%, a modest rate. By the late 1990s, however, the economy began to record higher growth rates. In 1998 the French economy grew by 3.3% in real terms. Unemployment, however, remained high at 11.5%. To combat this, the Socialist-led coalition of Lionel Jospin enacted legislation cutting the work week to 35 hours in 2000. This measure, along with other incentives, resulted in unemployment falling under 10% as over 400,000 new jobs were created in the first half of 2000. In 2002, GDP growth was low (1%), due to the global economic slowdown and a decline in investment. However, France's exports increased at a greater rate than imports, fueling the economy. France in 2002 fell from being the world's fourth-largest industrialized economy to fifth, being replaced by the United Kingdom. In 2004, France had a $1.737 trillion economy, in purchasing power parity terms. In 2004, real GDP growth was 1.9%. In 2005, real GDP growth was expected to slow to 1.4%, before picking up to 1.6% in 2006 and 2.2% in 2007.</w:t>
      </w:r>
    </w:p>
    <w:p w:rsidR="004379E3" w:rsidRPr="0068182D" w:rsidRDefault="004379E3" w:rsidP="00C40532">
      <w:pPr>
        <w:pStyle w:val="a6"/>
        <w:shd w:val="clear" w:color="auto" w:fill="FFFFFF"/>
        <w:spacing w:before="0" w:beforeAutospacing="0" w:after="0" w:afterAutospacing="0"/>
        <w:ind w:firstLine="708"/>
        <w:jc w:val="both"/>
        <w:rPr>
          <w:sz w:val="28"/>
          <w:szCs w:val="28"/>
          <w:lang w:val="en-US"/>
        </w:rPr>
      </w:pPr>
      <w:r w:rsidRPr="0068182D">
        <w:rPr>
          <w:sz w:val="28"/>
          <w:szCs w:val="28"/>
          <w:lang w:val="en-US"/>
        </w:rPr>
        <w:t>France and the United States are the world's top two exporting countries in defense products, agricultural goods, and services. Taxes remain the highest in the G-8 industrialized countries, and the tax structure is seen as a hindrance to business activity. The fastest-growing sectors of the economy have been telecommunications, aerospace, consulting services, meat and milk products, public works, insurance and financial services, and recreation, culture, and sports. Although the government has privatized many large companies, banks, and insurers, it still controls large sectors of the economy, including energy, transportation, and the defense industry.</w:t>
      </w:r>
    </w:p>
    <w:p w:rsidR="004379E3" w:rsidRPr="0068182D" w:rsidRDefault="004379E3" w:rsidP="00C40532">
      <w:pPr>
        <w:tabs>
          <w:tab w:val="left" w:pos="895"/>
        </w:tabs>
        <w:spacing w:after="0" w:line="240" w:lineRule="auto"/>
        <w:jc w:val="both"/>
        <w:rPr>
          <w:rFonts w:ascii="Times New Roman" w:hAnsi="Times New Roman" w:cs="Times New Roman"/>
          <w:sz w:val="28"/>
          <w:szCs w:val="28"/>
          <w:shd w:val="clear" w:color="auto" w:fill="FFFFFF"/>
          <w:lang w:val="en-US"/>
        </w:rPr>
      </w:pPr>
      <w:r w:rsidRPr="0068182D">
        <w:rPr>
          <w:rFonts w:ascii="Times New Roman" w:hAnsi="Times New Roman" w:cs="Times New Roman"/>
          <w:sz w:val="28"/>
          <w:szCs w:val="28"/>
          <w:shd w:val="clear" w:color="auto" w:fill="FFFFFF"/>
          <w:lang w:val="en-US"/>
        </w:rPr>
        <w:tab/>
        <w:t>The French social model, characterized by heavy state involvement in the economy, a tax on wealth, and generous benefits for workers, has proved to be a strong disincentive to growth and job creation. Unemployment, at 9.8% in September 2005, is double that in the United Kingdom. The pension system and rising healthcare costs strain public finances. Attempts to liberalize the economy have met strong resistance from labor unions and the left. Pension reforms proposed by the government of Jean-Pierre Raffarin in early 2003 were met by huge protests and strikes in France. Discontent with the economy played a large role in France's rejection of the EU constitution in May 2005. Dominique de Villepin, who became prime minister after the EU vote, promised to focus on unemployment and was in the process of engineering the sale of parts of Gaz de France and Electricité</w:t>
      </w:r>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de France (the world's largest generator of nuclear power) to help compensate for state deficits. Violent unrest in hundreds of towns erupted in the fall of 2005, triggered by frustration over high unemployment among urban youth. Politicians were faced with the challenge to craft social and economic policies to address the underlying causes of the rioting, which was centered in communities with large African and Arab populations, where youth unemployment reportedly approached 40% (and stood at 25% in the country overall).</w:t>
      </w:r>
    </w:p>
    <w:p w:rsidR="004379E3" w:rsidRPr="0068182D" w:rsidRDefault="004379E3" w:rsidP="00C40532">
      <w:pPr>
        <w:tabs>
          <w:tab w:val="left" w:pos="567"/>
        </w:tabs>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b/>
        <w:t>The French banking regulations prompted by the crisis of the 1930s were not radical. The original legislation that set up the structure of the banking network in 1885 with the establishment of savings banks was further strengthened in 1941 with the adoption of the first banking law. In 1945, the banks were separated into three categories (i.e. deposit banks, investment banks and medium and long-term lending banks) with each category being specialized into specific activities. In the post-war period, the organization of the banking system was driven by the need to finance reconstruction. Alongside the nationalization process of banks, the French authorities multiplied the incentives for non-financial agents (households in particular) to increase their savings and tried to steer these, through the specialization and supervision of financial intermediaries, towards certain areas — e.g. housing and the productive investment of resident companies. In addition, from the 1970s, regulated interest rates and monetary controls were overseen by government supervisors. The extent of financial regulation by the State until the 1980s in France is interesting with respect to early-bird legislation about financial liberalization. The free movement of capital was included in Law n°66-1008 (known as Debré law) of 28 December 1966. It stated that “financial relations with foreign countries were free in due respect of international commitments signed by France”. Nevertheless, article 3 authorized “temporary exceptions” to free movements of capital. “Temporary” measures, like exchange controls, continued until 1989! To summarize, at the very beginning of the 1980s, the French financial system was relatively closed, highly regulated and compartmentalized. The State played a significant role in the organization and functioning of the system. In the early 1980s, two phenomena posed a challenge to the French financial and banking system. First, the need for international openness pushed the French authorities to make fundamental changes to the structure of the country’s financial system. In the 1970s, global interest rates rose more than the French rates, meaning that exchange controls became increasingly necessary to maintain low interest rates in France. This intensified the contradiction between the tighter controls needed to maintain the financial system and the openness required by European and global economic integration. Second, the French banking system was facing a serious crisis in this period. This crisis was due to international developments (with the US disinflation policy leading to higher real interest rates, along with the international debt crisis of the developing countries and the first Mexican crisis) and to the inconsistent structure and poor profitability of the banking system. The model of universal banking (recommended by the Mayoux report in 1979) had not yet been fully incorporated into the French banking practice, and it was not until the Banking Act of 1984 and deregulation allowed the French banking and financial sectors to undergo a major transformation.</w:t>
      </w:r>
    </w:p>
    <w:p w:rsidR="004379E3" w:rsidRPr="0068182D" w:rsidRDefault="004379E3" w:rsidP="00C40532">
      <w:pPr>
        <w:tabs>
          <w:tab w:val="left" w:pos="567"/>
        </w:tabs>
        <w:spacing w:after="0" w:line="240" w:lineRule="auto"/>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ab/>
        <w:t xml:space="preserve">The 1980s: a period of banking reform and of profound changes in the French financial system </w:t>
      </w:r>
    </w:p>
    <w:p w:rsidR="004379E3" w:rsidRPr="0068182D" w:rsidRDefault="004379E3" w:rsidP="00C40532">
      <w:pPr>
        <w:tabs>
          <w:tab w:val="left" w:pos="567"/>
        </w:tabs>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b/>
        <w:t>The French financial system went through a profound transformation in the 1980s, following a wave of deregulation that, having originated in the United States in the mid-1970s, modified both its structure and its operating conditions. Two types of deregulation can be distinguished: the organization of the system (“structural deregulation”) and the way they operated (“conduct deregulation”). 2.2.1 Legal and regulatory changes introduced by the left-wing government The nationalizations of 1982 represented the first step in the State’s effort to radically overhaul the French banking system in order to deal with financial globalization. These nationalizations as part of a more sweeping reform by the Socialist government of the financial and banking systems, were intended (i) to finance priority investments, (ii) to improve the control of credit and (iii) to reduce the cost of bank loans. The French State thus nationalized 36 deposit banks and two investment banks (or compagnies financières). This gave the State control of virtually the entire banking sector, meaning that it could now steer investment and reform the financial system.</w:t>
      </w:r>
    </w:p>
    <w:p w:rsidR="004379E3" w:rsidRPr="0068182D" w:rsidRDefault="004379E3" w:rsidP="00C40532">
      <w:pPr>
        <w:tabs>
          <w:tab w:val="left" w:pos="567"/>
        </w:tabs>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b/>
        <w:t>In seemingly contrast with the process of nationalization, the cornerstone of the French financial (de)regulation since 1980 has undoubtedly been the Banking Act of 1984, relative to the activity and control of the credit organisations, which has to be linked to the liberalisation context of the international financial system. The reforms introduced by Finance Minister Pierre Bérégovoy starting in 1984 aimed at establishing a unified monetary and financial market where interest rates were set freely (subject to the intervention of the Banque de France). This Banking Act, proposed by the government of Pierre Mauroy (PS ), aimed at strengthening competition and improving efficiency of the entire banking system. It put a halt to the bank specialisation by creating the ‘universal bank’: every organization that received an agreement could carry out every type of operations peculiar to credit organisations and could choose its customers without restrictions. These “credit organisations” encompassed the AFB banks such as BNP-Paribas or Société Générale, the “mutualist” or cooperative banks (Crédit Agricole), the savings banks, the local credit banks, the financial societies (CETELEM, COFINOGA) and the specialized financial institutions. The Banking Act also created three collegial authorities, whose functioning is tightly linked to the functioning of Bank of France, to control for the banking sector’s activities: the Banking Regulation Committee (CRB), the Credit Organisations Committee (CEC) and the Banking Commission (CB). The CB had to control whether the credit organisations respected the several enforceable legislative and regulatory clauses and to punish them if necessary. Last, the Banking Act introduced a liquidity and solvability constraint for the credit organisations. The latter had to abide by accounting norms and by a balanced financial structure in order to guarantee their liquidity and solvability, under the supervision of the CRB. This liberalisation had some quick effects on the securitisation movement through which France lived from 1986 to 1990. This market-oriented policy has been pursued through several measures like the lifting of the credit framework in 1987, the lifting of control on assets movements or the dismantling of the exchange control in 1989. Additional important changes in the financial and banking landscape are as follows. In 1983, the creation of the monthly settlement market unified the stock exchange trading while the creation of a second market (second marché) gave smaller companies, mainly family firms, access to the stock market. In 1985, certificates of deposits were created, i.e. debt securities primarily intended for professional investors as very short-term investments (between 1 day and 1 year), and the money market was opened to non-banks. The MATIF futures market was created to allow trading in futures instruments, and then the MONEP market for (financial) options. To summarize, the Banking Act of 1984 has had a long-lasting influence on the French banking and financial system. Also noticeable is its seniority as regards many European directives. Such was the case in a wide array of legislative reforms that the Banking Act generated (see Blot et al., 2013, for details): liberalisation of capital movements (EU directive in 1988), cross-border competition and definition of permitted activities (EU directive in 1989 and 1993), capital requirements (EU directive in 1989), definition of investment services (EU directive in 1993), deposit guarantee (EU directive in 1994), and crisis management schemes (EU directive in 2001).</w:t>
      </w:r>
    </w:p>
    <w:p w:rsidR="004379E3" w:rsidRPr="0068182D" w:rsidRDefault="004379E3" w:rsidP="00C40532">
      <w:pPr>
        <w:tabs>
          <w:tab w:val="left" w:pos="895"/>
        </w:tabs>
        <w:spacing w:after="0" w:line="240" w:lineRule="auto"/>
        <w:jc w:val="both"/>
        <w:rPr>
          <w:rFonts w:ascii="Times New Roman" w:hAnsi="Times New Roman" w:cs="Times New Roman"/>
          <w:sz w:val="28"/>
          <w:szCs w:val="28"/>
          <w:lang w:val="en-US"/>
        </w:rPr>
      </w:pPr>
    </w:p>
    <w:p w:rsidR="004379E3" w:rsidRPr="0068182D" w:rsidRDefault="004379E3" w:rsidP="00C40532">
      <w:pPr>
        <w:pStyle w:val="a6"/>
        <w:spacing w:before="0" w:beforeAutospacing="0" w:after="0" w:afterAutospacing="0"/>
        <w:ind w:firstLine="567"/>
        <w:jc w:val="both"/>
        <w:rPr>
          <w:sz w:val="28"/>
          <w:szCs w:val="28"/>
          <w:lang w:val="en-US"/>
        </w:rPr>
      </w:pPr>
      <w:r w:rsidRPr="0068182D">
        <w:rPr>
          <w:rStyle w:val="hps"/>
          <w:sz w:val="28"/>
          <w:szCs w:val="28"/>
          <w:lang w:val="en-US"/>
        </w:rPr>
        <w:t>2.</w:t>
      </w:r>
      <w:r w:rsidRPr="0068182D">
        <w:rPr>
          <w:b/>
          <w:sz w:val="28"/>
          <w:szCs w:val="28"/>
          <w:lang w:val="en-US"/>
        </w:rPr>
        <w:t xml:space="preserve"> </w:t>
      </w:r>
      <w:r w:rsidRPr="0068182D">
        <w:rPr>
          <w:rStyle w:val="hps"/>
          <w:sz w:val="28"/>
          <w:szCs w:val="28"/>
          <w:lang w:val="en-US"/>
        </w:rPr>
        <w:t>State</w:t>
      </w:r>
      <w:r w:rsidRPr="0068182D">
        <w:rPr>
          <w:b/>
          <w:sz w:val="28"/>
          <w:szCs w:val="28"/>
          <w:lang w:val="en-US"/>
        </w:rPr>
        <w:t xml:space="preserve"> </w:t>
      </w:r>
      <w:r w:rsidRPr="0068182D">
        <w:rPr>
          <w:rStyle w:val="hps"/>
          <w:sz w:val="28"/>
          <w:szCs w:val="28"/>
          <w:lang w:val="en-US"/>
        </w:rPr>
        <w:t>budget</w:t>
      </w:r>
      <w:r w:rsidRPr="0068182D">
        <w:rPr>
          <w:b/>
          <w:sz w:val="28"/>
          <w:szCs w:val="28"/>
          <w:lang w:val="en-US"/>
        </w:rPr>
        <w:t xml:space="preserve"> </w:t>
      </w:r>
      <w:r w:rsidRPr="0068182D">
        <w:rPr>
          <w:rStyle w:val="hps"/>
          <w:sz w:val="28"/>
          <w:szCs w:val="28"/>
          <w:lang w:val="en-US"/>
        </w:rPr>
        <w:t>in France</w:t>
      </w:r>
      <w:r w:rsidRPr="0068182D">
        <w:rPr>
          <w:b/>
          <w:sz w:val="28"/>
          <w:szCs w:val="28"/>
          <w:lang w:val="en-US"/>
        </w:rPr>
        <w:t xml:space="preserve">. </w:t>
      </w:r>
      <w:r w:rsidRPr="0068182D">
        <w:rPr>
          <w:rStyle w:val="hps"/>
          <w:sz w:val="28"/>
          <w:szCs w:val="28"/>
          <w:lang w:val="en-US"/>
        </w:rPr>
        <w:t>The composition and structure</w:t>
      </w:r>
      <w:r w:rsidRPr="0068182D">
        <w:rPr>
          <w:b/>
          <w:sz w:val="28"/>
          <w:szCs w:val="28"/>
          <w:lang w:val="en-US"/>
        </w:rPr>
        <w:t xml:space="preserve"> </w:t>
      </w:r>
      <w:r w:rsidRPr="0068182D">
        <w:rPr>
          <w:rStyle w:val="hps"/>
          <w:sz w:val="28"/>
          <w:szCs w:val="28"/>
          <w:lang w:val="en-US"/>
        </w:rPr>
        <w:t>of income and expenses</w:t>
      </w:r>
      <w:r w:rsidRPr="0068182D">
        <w:rPr>
          <w:b/>
          <w:sz w:val="28"/>
          <w:szCs w:val="28"/>
          <w:lang w:val="en-US"/>
        </w:rPr>
        <w:t>.</w:t>
      </w:r>
      <w:r w:rsidRPr="0068182D">
        <w:rPr>
          <w:b/>
          <w:sz w:val="28"/>
          <w:szCs w:val="28"/>
          <w:lang w:val="en-US"/>
        </w:rPr>
        <w:br/>
      </w:r>
    </w:p>
    <w:p w:rsidR="004379E3" w:rsidRPr="0068182D" w:rsidRDefault="004379E3" w:rsidP="00C40532">
      <w:pPr>
        <w:pStyle w:val="a6"/>
        <w:spacing w:before="0" w:beforeAutospacing="0" w:after="0" w:afterAutospacing="0"/>
        <w:ind w:firstLine="567"/>
        <w:jc w:val="both"/>
        <w:rPr>
          <w:sz w:val="28"/>
          <w:szCs w:val="28"/>
          <w:lang w:val="en-US"/>
        </w:rPr>
      </w:pPr>
      <w:r w:rsidRPr="0068182D">
        <w:rPr>
          <w:sz w:val="28"/>
          <w:szCs w:val="28"/>
          <w:lang w:val="en-US"/>
        </w:rPr>
        <w:t>The </w:t>
      </w:r>
      <w:r w:rsidRPr="0068182D">
        <w:rPr>
          <w:b/>
          <w:bCs/>
          <w:sz w:val="28"/>
          <w:szCs w:val="28"/>
          <w:lang w:val="en-US"/>
        </w:rPr>
        <w:t>budget of France</w:t>
      </w:r>
      <w:r w:rsidRPr="0068182D">
        <w:rPr>
          <w:sz w:val="28"/>
          <w:szCs w:val="28"/>
          <w:lang w:val="en-US"/>
        </w:rPr>
        <w:t>, setting revenues and spending levels is set after approval of the national assembly and the senate. The </w:t>
      </w:r>
      <w:hyperlink r:id="rId86" w:tooltip="Constitution of France" w:history="1">
        <w:r w:rsidRPr="0068182D">
          <w:rPr>
            <w:sz w:val="28"/>
            <w:szCs w:val="28"/>
            <w:u w:val="single"/>
            <w:lang w:val="en-US"/>
          </w:rPr>
          <w:t>French Constitution</w:t>
        </w:r>
      </w:hyperlink>
      <w:r w:rsidRPr="0068182D">
        <w:rPr>
          <w:sz w:val="28"/>
          <w:szCs w:val="28"/>
          <w:lang w:val="en-US"/>
        </w:rPr>
        <w:t> provides for a maximum of 70 days between the budget being proposed to parliament and it being approved. Article 40 of the Constitution stops the </w:t>
      </w:r>
      <w:hyperlink r:id="rId87" w:tooltip="National Assembly (France)" w:history="1">
        <w:r w:rsidRPr="0068182D">
          <w:rPr>
            <w:sz w:val="28"/>
            <w:szCs w:val="28"/>
            <w:u w:val="single"/>
            <w:lang w:val="en-US"/>
          </w:rPr>
          <w:t>National Assembly</w:t>
        </w:r>
      </w:hyperlink>
      <w:r w:rsidRPr="0068182D">
        <w:rPr>
          <w:sz w:val="28"/>
          <w:szCs w:val="28"/>
          <w:lang w:val="en-US"/>
        </w:rPr>
        <w:t> and </w:t>
      </w:r>
      <w:hyperlink r:id="rId88" w:tooltip="Senate (France)" w:history="1">
        <w:r w:rsidRPr="0068182D">
          <w:rPr>
            <w:sz w:val="28"/>
            <w:szCs w:val="28"/>
            <w:u w:val="single"/>
            <w:lang w:val="en-US"/>
          </w:rPr>
          <w:t>Senate</w:t>
        </w:r>
      </w:hyperlink>
      <w:r w:rsidRPr="0068182D">
        <w:rPr>
          <w:sz w:val="28"/>
          <w:szCs w:val="28"/>
          <w:lang w:val="en-US"/>
        </w:rPr>
        <w:t> from making any amendments to the total spending and revenue amounts proposed by the government.</w:t>
      </w:r>
    </w:p>
    <w:p w:rsidR="004379E3" w:rsidRPr="0068182D" w:rsidRDefault="004379E3" w:rsidP="00C40532">
      <w:pPr>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Once approved by parliament, the government may make adjustments of up to 2% to the budget without having to seek further parliamentary approval.</w:t>
      </w:r>
    </w:p>
    <w:p w:rsidR="004379E3" w:rsidRPr="0068182D" w:rsidRDefault="004379E3" w:rsidP="00C40532">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2011, the government introduced a bill to amend article 34 of the Constitution to ensure a balanced budget (</w:t>
      </w:r>
      <w:hyperlink r:id="rId89" w:tooltip="Golden Rule" w:history="1">
        <w:r w:rsidRPr="0068182D">
          <w:rPr>
            <w:rFonts w:ascii="Times New Roman" w:hAnsi="Times New Roman" w:cs="Times New Roman"/>
            <w:sz w:val="28"/>
            <w:szCs w:val="28"/>
            <w:u w:val="single"/>
            <w:lang w:val="en-US"/>
          </w:rPr>
          <w:t>Golden Rule</w:t>
        </w:r>
      </w:hyperlink>
      <w:r w:rsidRPr="0068182D">
        <w:rPr>
          <w:rFonts w:ascii="Times New Roman" w:hAnsi="Times New Roman" w:cs="Times New Roman"/>
          <w:sz w:val="28"/>
          <w:szCs w:val="28"/>
          <w:lang w:val="en-US"/>
        </w:rPr>
        <w:t>).</w:t>
      </w:r>
    </w:p>
    <w:p w:rsidR="004379E3" w:rsidRPr="0068182D" w:rsidRDefault="004379E3" w:rsidP="00C40532">
      <w:pPr>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French budget concerns only spending and revenue by central government. It thus excludes the Social Security budget and regional and local authorities budgets.</w:t>
      </w:r>
    </w:p>
    <w:p w:rsidR="004379E3" w:rsidRPr="0068182D" w:rsidRDefault="004379E3" w:rsidP="00C40532">
      <w:pPr>
        <w:pBdr>
          <w:bottom w:val="single" w:sz="4" w:space="0" w:color="A2A9B1"/>
        </w:pBdr>
        <w:spacing w:after="0" w:line="240" w:lineRule="auto"/>
        <w:jc w:val="both"/>
        <w:outlineLvl w:val="1"/>
        <w:rPr>
          <w:rFonts w:ascii="Times New Roman" w:hAnsi="Times New Roman" w:cs="Times New Roman"/>
          <w:sz w:val="28"/>
          <w:szCs w:val="28"/>
          <w:lang w:val="en-US"/>
        </w:rPr>
      </w:pPr>
    </w:p>
    <w:p w:rsidR="004379E3" w:rsidRPr="0068182D" w:rsidRDefault="004379E3" w:rsidP="00C40532">
      <w:pPr>
        <w:pBdr>
          <w:bottom w:val="single" w:sz="4" w:space="0" w:color="A2A9B1"/>
        </w:pBdr>
        <w:spacing w:after="0" w:line="240" w:lineRule="auto"/>
        <w:jc w:val="center"/>
        <w:outlineLvl w:val="1"/>
        <w:rPr>
          <w:rFonts w:ascii="Times New Roman" w:hAnsi="Times New Roman" w:cs="Times New Roman"/>
          <w:b/>
          <w:sz w:val="28"/>
          <w:szCs w:val="28"/>
        </w:rPr>
      </w:pPr>
      <w:r w:rsidRPr="0068182D">
        <w:rPr>
          <w:rFonts w:ascii="Times New Roman" w:hAnsi="Times New Roman" w:cs="Times New Roman"/>
          <w:b/>
          <w:sz w:val="28"/>
          <w:szCs w:val="28"/>
        </w:rPr>
        <w:t>Public spending in 2013[</w:t>
      </w:r>
      <w:hyperlink r:id="rId90" w:tooltip="Edit section: Public spending in 2013" w:history="1">
        <w:r w:rsidRPr="0068182D">
          <w:rPr>
            <w:rFonts w:ascii="Times New Roman" w:hAnsi="Times New Roman" w:cs="Times New Roman"/>
            <w:b/>
            <w:sz w:val="28"/>
            <w:szCs w:val="28"/>
            <w:u w:val="single"/>
          </w:rPr>
          <w:t>edit</w:t>
        </w:r>
      </w:hyperlink>
      <w:r w:rsidRPr="0068182D">
        <w:rPr>
          <w:rFonts w:ascii="Times New Roman" w:hAnsi="Times New Roman" w:cs="Times New Roman"/>
          <w:b/>
          <w:sz w:val="28"/>
          <w:szCs w:val="28"/>
        </w:rPr>
        <w:t>]</w:t>
      </w:r>
    </w:p>
    <w:tbl>
      <w:tblPr>
        <w:tblW w:w="0" w:type="auto"/>
        <w:tblBorders>
          <w:top w:val="single" w:sz="4" w:space="0" w:color="A2A9B1"/>
          <w:left w:val="single" w:sz="4" w:space="0" w:color="A2A9B1"/>
          <w:bottom w:val="single" w:sz="4" w:space="0" w:color="A2A9B1"/>
          <w:right w:val="single" w:sz="4" w:space="0" w:color="A2A9B1"/>
        </w:tblBorders>
        <w:shd w:val="clear" w:color="auto" w:fill="F8F9FA"/>
        <w:tblCellMar>
          <w:top w:w="15" w:type="dxa"/>
          <w:left w:w="15" w:type="dxa"/>
          <w:bottom w:w="15" w:type="dxa"/>
          <w:right w:w="15" w:type="dxa"/>
        </w:tblCellMar>
        <w:tblLook w:val="04A0"/>
      </w:tblPr>
      <w:tblGrid>
        <w:gridCol w:w="1903"/>
        <w:gridCol w:w="1865"/>
        <w:gridCol w:w="1351"/>
        <w:gridCol w:w="1872"/>
        <w:gridCol w:w="2009"/>
        <w:gridCol w:w="988"/>
      </w:tblGrid>
      <w:tr w:rsidR="004379E3" w:rsidRPr="0068182D" w:rsidTr="00BE3110">
        <w:trPr>
          <w:tblHeader/>
        </w:trPr>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379E3" w:rsidRPr="0068182D" w:rsidRDefault="004379E3" w:rsidP="00C40532">
            <w:pPr>
              <w:spacing w:after="0" w:line="240" w:lineRule="auto"/>
              <w:jc w:val="both"/>
              <w:rPr>
                <w:rFonts w:ascii="Times New Roman" w:hAnsi="Times New Roman" w:cs="Times New Roman"/>
                <w:b/>
                <w:bCs/>
                <w:sz w:val="28"/>
                <w:szCs w:val="28"/>
              </w:rPr>
            </w:pPr>
            <w:r w:rsidRPr="0068182D">
              <w:rPr>
                <w:rFonts w:ascii="Times New Roman" w:hAnsi="Times New Roman" w:cs="Times New Roman"/>
                <w:b/>
                <w:bCs/>
                <w:sz w:val="28"/>
                <w:szCs w:val="28"/>
              </w:rPr>
              <w:t>Item</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379E3" w:rsidRPr="0068182D" w:rsidRDefault="004379E3" w:rsidP="00C40532">
            <w:pPr>
              <w:spacing w:after="0" w:line="240" w:lineRule="auto"/>
              <w:jc w:val="both"/>
              <w:rPr>
                <w:rFonts w:ascii="Times New Roman" w:hAnsi="Times New Roman" w:cs="Times New Roman"/>
                <w:b/>
                <w:bCs/>
                <w:sz w:val="28"/>
                <w:szCs w:val="28"/>
              </w:rPr>
            </w:pPr>
            <w:r w:rsidRPr="0068182D">
              <w:rPr>
                <w:rFonts w:ascii="Times New Roman" w:hAnsi="Times New Roman" w:cs="Times New Roman"/>
                <w:b/>
                <w:bCs/>
                <w:sz w:val="28"/>
                <w:szCs w:val="28"/>
              </w:rPr>
              <w:t>Central Government</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379E3" w:rsidRPr="0068182D" w:rsidRDefault="004379E3" w:rsidP="00C40532">
            <w:pPr>
              <w:spacing w:after="0" w:line="240" w:lineRule="auto"/>
              <w:jc w:val="both"/>
              <w:rPr>
                <w:rFonts w:ascii="Times New Roman" w:hAnsi="Times New Roman" w:cs="Times New Roman"/>
                <w:b/>
                <w:bCs/>
                <w:sz w:val="28"/>
                <w:szCs w:val="28"/>
              </w:rPr>
            </w:pPr>
            <w:r w:rsidRPr="0068182D">
              <w:rPr>
                <w:rFonts w:ascii="Times New Roman" w:hAnsi="Times New Roman" w:cs="Times New Roman"/>
                <w:b/>
                <w:bCs/>
                <w:sz w:val="28"/>
                <w:szCs w:val="28"/>
              </w:rPr>
              <w:t>Social Security</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379E3" w:rsidRPr="0068182D" w:rsidRDefault="004379E3" w:rsidP="00C40532">
            <w:pPr>
              <w:spacing w:after="0" w:line="240" w:lineRule="auto"/>
              <w:jc w:val="both"/>
              <w:rPr>
                <w:rFonts w:ascii="Times New Roman" w:hAnsi="Times New Roman" w:cs="Times New Roman"/>
                <w:b/>
                <w:bCs/>
                <w:sz w:val="28"/>
                <w:szCs w:val="28"/>
              </w:rPr>
            </w:pPr>
            <w:r w:rsidRPr="0068182D">
              <w:rPr>
                <w:rFonts w:ascii="Times New Roman" w:hAnsi="Times New Roman" w:cs="Times New Roman"/>
                <w:b/>
                <w:bCs/>
                <w:sz w:val="28"/>
                <w:szCs w:val="28"/>
              </w:rPr>
              <w:t>Local &amp; Regional Government</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379E3" w:rsidRPr="0068182D" w:rsidRDefault="004379E3" w:rsidP="00C40532">
            <w:pPr>
              <w:spacing w:after="0" w:line="240" w:lineRule="auto"/>
              <w:jc w:val="both"/>
              <w:rPr>
                <w:rFonts w:ascii="Times New Roman" w:hAnsi="Times New Roman" w:cs="Times New Roman"/>
                <w:b/>
                <w:bCs/>
                <w:sz w:val="28"/>
                <w:szCs w:val="28"/>
              </w:rPr>
            </w:pPr>
            <w:r w:rsidRPr="0068182D">
              <w:rPr>
                <w:rFonts w:ascii="Times New Roman" w:hAnsi="Times New Roman" w:cs="Times New Roman"/>
                <w:b/>
                <w:bCs/>
                <w:sz w:val="28"/>
                <w:szCs w:val="28"/>
              </w:rPr>
              <w:t>Quasi-governmental bodies</w:t>
            </w:r>
          </w:p>
        </w:tc>
        <w:tc>
          <w:tcPr>
            <w:tcW w:w="0" w:type="auto"/>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254" w:type="dxa"/>
            </w:tcMar>
            <w:hideMark/>
          </w:tcPr>
          <w:p w:rsidR="004379E3" w:rsidRPr="0068182D" w:rsidRDefault="004379E3" w:rsidP="00C40532">
            <w:pPr>
              <w:spacing w:after="0" w:line="240" w:lineRule="auto"/>
              <w:jc w:val="both"/>
              <w:rPr>
                <w:rFonts w:ascii="Times New Roman" w:hAnsi="Times New Roman" w:cs="Times New Roman"/>
                <w:b/>
                <w:bCs/>
                <w:sz w:val="28"/>
                <w:szCs w:val="28"/>
              </w:rPr>
            </w:pPr>
            <w:r w:rsidRPr="0068182D">
              <w:rPr>
                <w:rFonts w:ascii="Times New Roman" w:hAnsi="Times New Roman" w:cs="Times New Roman"/>
                <w:b/>
                <w:bCs/>
                <w:sz w:val="28"/>
                <w:szCs w:val="28"/>
              </w:rPr>
              <w:t>Total</w:t>
            </w:r>
          </w:p>
        </w:tc>
      </w:tr>
      <w:tr w:rsidR="004379E3" w:rsidRPr="0068182D" w:rsidTr="00BE3110">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Expenditures</w:t>
            </w:r>
            <w:r w:rsidRPr="0068182D">
              <w:rPr>
                <w:rFonts w:ascii="Times New Roman" w:hAnsi="Times New Roman" w:cs="Times New Roman"/>
                <w:sz w:val="28"/>
                <w:szCs w:val="28"/>
              </w:rPr>
              <w:br/>
              <w:t>(billion €)</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562.9</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252</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81.3</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1383.9</w:t>
            </w:r>
          </w:p>
        </w:tc>
      </w:tr>
      <w:tr w:rsidR="004379E3" w:rsidRPr="0068182D" w:rsidTr="00BE3110">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Revenues</w:t>
            </w:r>
            <w:r w:rsidRPr="0068182D">
              <w:rPr>
                <w:rFonts w:ascii="Times New Roman" w:hAnsi="Times New Roman" w:cs="Times New Roman"/>
                <w:sz w:val="28"/>
                <w:szCs w:val="28"/>
              </w:rPr>
              <w:br/>
              <w:t>(billion €)</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419.8</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552.8</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242.8</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82.6</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1298.0</w:t>
            </w:r>
          </w:p>
        </w:tc>
      </w:tr>
      <w:tr w:rsidR="004379E3" w:rsidRPr="0068182D" w:rsidTr="00BE3110">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Surplus/Deficit</w:t>
            </w:r>
            <w:r w:rsidRPr="0068182D">
              <w:rPr>
                <w:rFonts w:ascii="Times New Roman" w:hAnsi="Times New Roman" w:cs="Times New Roman"/>
                <w:sz w:val="28"/>
                <w:szCs w:val="28"/>
              </w:rPr>
              <w:br/>
              <w:t>(billion €)</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-67.9</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-10.1</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-9.2</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1.3</w:t>
            </w:r>
          </w:p>
        </w:tc>
        <w:tc>
          <w:tcPr>
            <w:tcW w:w="0" w:type="auto"/>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-85.89</w:t>
            </w:r>
            <w:r w:rsidRPr="0068182D">
              <w:rPr>
                <w:rFonts w:ascii="Times New Roman" w:hAnsi="Times New Roman" w:cs="Times New Roman"/>
                <w:sz w:val="28"/>
                <w:szCs w:val="28"/>
              </w:rPr>
              <w:br/>
            </w:r>
          </w:p>
        </w:tc>
      </w:tr>
    </w:tbl>
    <w:p w:rsidR="004379E3" w:rsidRPr="0068182D" w:rsidRDefault="004379E3" w:rsidP="00C40532">
      <w:pPr>
        <w:shd w:val="clear" w:color="auto" w:fill="FFFFFF"/>
        <w:tabs>
          <w:tab w:val="left" w:pos="180"/>
        </w:tabs>
        <w:spacing w:after="0" w:line="240" w:lineRule="auto"/>
        <w:ind w:firstLine="34"/>
        <w:jc w:val="both"/>
        <w:rPr>
          <w:rStyle w:val="hps"/>
          <w:rFonts w:ascii="Times New Roman" w:hAnsi="Times New Roman" w:cs="Times New Roman"/>
          <w:b/>
          <w:sz w:val="28"/>
          <w:szCs w:val="28"/>
          <w:lang w:val="en-US"/>
        </w:rPr>
      </w:pPr>
    </w:p>
    <w:p w:rsidR="004379E3" w:rsidRPr="0068182D" w:rsidRDefault="004379E3" w:rsidP="00C40532">
      <w:pPr>
        <w:shd w:val="clear" w:color="auto" w:fill="FFFFFF"/>
        <w:tabs>
          <w:tab w:val="left" w:pos="180"/>
        </w:tabs>
        <w:spacing w:after="0" w:line="240" w:lineRule="auto"/>
        <w:ind w:firstLine="34"/>
        <w:jc w:val="both"/>
        <w:rPr>
          <w:rStyle w:val="hps"/>
          <w:rFonts w:ascii="Times New Roman" w:hAnsi="Times New Roman" w:cs="Times New Roman"/>
          <w:b/>
          <w:sz w:val="28"/>
          <w:szCs w:val="28"/>
          <w:lang w:val="en-US"/>
        </w:rPr>
      </w:pPr>
    </w:p>
    <w:p w:rsidR="004379E3" w:rsidRPr="0068182D" w:rsidRDefault="004379E3" w:rsidP="00C40532">
      <w:pPr>
        <w:shd w:val="clear" w:color="auto" w:fill="FFFFFF"/>
        <w:tabs>
          <w:tab w:val="left" w:pos="180"/>
        </w:tabs>
        <w:spacing w:after="0" w:line="240" w:lineRule="auto"/>
        <w:ind w:firstLine="567"/>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3. State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budget funds.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Attached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budgets.</w:t>
      </w:r>
    </w:p>
    <w:p w:rsidR="004379E3" w:rsidRPr="0068182D" w:rsidRDefault="004379E3" w:rsidP="00C40532">
      <w:pPr>
        <w:shd w:val="clear" w:color="auto" w:fill="FFFFFF"/>
        <w:tabs>
          <w:tab w:val="left" w:pos="180"/>
        </w:tabs>
        <w:spacing w:after="0" w:line="240" w:lineRule="auto"/>
        <w:ind w:firstLine="34"/>
        <w:jc w:val="both"/>
        <w:rPr>
          <w:rStyle w:val="hps"/>
          <w:rFonts w:ascii="Times New Roman" w:hAnsi="Times New Roman" w:cs="Times New Roman"/>
          <w:b/>
          <w:sz w:val="28"/>
          <w:szCs w:val="28"/>
          <w:lang w:val="en-US"/>
        </w:rPr>
      </w:pPr>
    </w:p>
    <w:p w:rsidR="004379E3" w:rsidRPr="0068182D" w:rsidRDefault="004379E3" w:rsidP="00C40532">
      <w:pPr>
        <w:shd w:val="clear" w:color="auto" w:fill="FFFFFF"/>
        <w:tabs>
          <w:tab w:val="left" w:pos="180"/>
        </w:tabs>
        <w:spacing w:after="0" w:line="240" w:lineRule="auto"/>
        <w:ind w:firstLine="34"/>
        <w:jc w:val="both"/>
        <w:rPr>
          <w:rFonts w:ascii="Times New Roman" w:hAnsi="Times New Roman" w:cs="Times New Roman"/>
          <w:b/>
          <w:spacing w:val="-9"/>
          <w:sz w:val="28"/>
          <w:szCs w:val="28"/>
          <w:lang w:val="en-US"/>
        </w:rPr>
      </w:pPr>
      <w:r w:rsidRPr="0068182D">
        <w:rPr>
          <w:rFonts w:ascii="Times New Roman" w:hAnsi="Times New Roman" w:cs="Times New Roman"/>
          <w:b/>
          <w:noProof/>
          <w:spacing w:val="-9"/>
          <w:sz w:val="28"/>
          <w:szCs w:val="28"/>
        </w:rPr>
        <w:drawing>
          <wp:inline distT="0" distB="0" distL="0" distR="0">
            <wp:extent cx="6397118" cy="3049286"/>
            <wp:effectExtent l="19050" t="0" r="3682"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srcRect/>
                    <a:stretch>
                      <a:fillRect/>
                    </a:stretch>
                  </pic:blipFill>
                  <pic:spPr bwMode="auto">
                    <a:xfrm>
                      <a:off x="0" y="0"/>
                      <a:ext cx="6402079" cy="3051651"/>
                    </a:xfrm>
                    <a:prstGeom prst="rect">
                      <a:avLst/>
                    </a:prstGeom>
                    <a:noFill/>
                    <a:ln w="9525">
                      <a:noFill/>
                      <a:miter lim="800000"/>
                      <a:headEnd/>
                      <a:tailEnd/>
                    </a:ln>
                  </pic:spPr>
                </pic:pic>
              </a:graphicData>
            </a:graphic>
          </wp:inline>
        </w:drawing>
      </w:r>
    </w:p>
    <w:p w:rsidR="004379E3" w:rsidRPr="0068182D" w:rsidRDefault="004379E3" w:rsidP="00C40532">
      <w:pPr>
        <w:shd w:val="clear" w:color="auto" w:fill="FFFFFF"/>
        <w:tabs>
          <w:tab w:val="left" w:pos="180"/>
        </w:tabs>
        <w:spacing w:after="0" w:line="240" w:lineRule="auto"/>
        <w:ind w:firstLine="34"/>
        <w:jc w:val="both"/>
        <w:rPr>
          <w:rFonts w:ascii="Times New Roman" w:hAnsi="Times New Roman" w:cs="Times New Roman"/>
          <w:b/>
          <w:spacing w:val="-9"/>
          <w:sz w:val="28"/>
          <w:szCs w:val="28"/>
          <w:lang w:val="en-US"/>
        </w:rPr>
      </w:pPr>
    </w:p>
    <w:p w:rsidR="004379E3" w:rsidRPr="0068182D" w:rsidRDefault="004379E3" w:rsidP="00C40532">
      <w:pPr>
        <w:shd w:val="clear" w:color="auto" w:fill="FFFFFF"/>
        <w:tabs>
          <w:tab w:val="left" w:pos="180"/>
        </w:tabs>
        <w:spacing w:after="0" w:line="240" w:lineRule="auto"/>
        <w:ind w:firstLine="34"/>
        <w:jc w:val="both"/>
        <w:rPr>
          <w:rFonts w:ascii="Times New Roman" w:hAnsi="Times New Roman" w:cs="Times New Roman"/>
          <w:b/>
          <w:spacing w:val="-9"/>
          <w:sz w:val="28"/>
          <w:szCs w:val="28"/>
          <w:lang w:val="en-US"/>
        </w:rPr>
      </w:pPr>
      <w:r w:rsidRPr="0068182D">
        <w:rPr>
          <w:rFonts w:ascii="Times New Roman" w:hAnsi="Times New Roman" w:cs="Times New Roman"/>
          <w:b/>
          <w:noProof/>
          <w:spacing w:val="-9"/>
          <w:sz w:val="28"/>
          <w:szCs w:val="28"/>
        </w:rPr>
        <w:drawing>
          <wp:inline distT="0" distB="0" distL="0" distR="0">
            <wp:extent cx="6367838" cy="2835409"/>
            <wp:effectExtent l="1905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srcRect/>
                    <a:stretch>
                      <a:fillRect/>
                    </a:stretch>
                  </pic:blipFill>
                  <pic:spPr bwMode="auto">
                    <a:xfrm>
                      <a:off x="0" y="0"/>
                      <a:ext cx="6372143" cy="2837326"/>
                    </a:xfrm>
                    <a:prstGeom prst="rect">
                      <a:avLst/>
                    </a:prstGeom>
                    <a:noFill/>
                    <a:ln w="9525">
                      <a:noFill/>
                      <a:miter lim="800000"/>
                      <a:headEnd/>
                      <a:tailEnd/>
                    </a:ln>
                  </pic:spPr>
                </pic:pic>
              </a:graphicData>
            </a:graphic>
          </wp:inline>
        </w:drawing>
      </w:r>
    </w:p>
    <w:p w:rsidR="004379E3" w:rsidRPr="0068182D" w:rsidRDefault="004379E3" w:rsidP="00C40532">
      <w:pPr>
        <w:shd w:val="clear" w:color="auto" w:fill="FFFFFF"/>
        <w:spacing w:after="0" w:line="240" w:lineRule="auto"/>
        <w:jc w:val="both"/>
        <w:outlineLvl w:val="1"/>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outlineLvl w:val="1"/>
        <w:rPr>
          <w:rFonts w:ascii="Times New Roman" w:hAnsi="Times New Roman" w:cs="Times New Roman"/>
          <w:sz w:val="28"/>
          <w:szCs w:val="28"/>
          <w:lang w:val="en-US"/>
        </w:rPr>
      </w:pPr>
      <w:r w:rsidRPr="0068182D">
        <w:rPr>
          <w:rFonts w:ascii="Times New Roman" w:hAnsi="Times New Roman" w:cs="Times New Roman"/>
          <w:sz w:val="28"/>
          <w:szCs w:val="28"/>
          <w:lang w:val="en-US"/>
        </w:rPr>
        <w:t>BALANCE OF PAYMENTS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Between 1945 and 1958, France had a constant deficit in its balance of payments. The deficit was financed by foreign loans and by US aid under the Marshall Plan, which totaled more than $4.5 billion. A 1958 currency reform devalued the franc by 17.5%, reduced quota restrictions on imports, and allowed for repatriation of capital; these measures, combined with increased tourist trade and greater spending by US armed forces in the franc zone, improved France's payments position. </w:t>
      </w:r>
      <w:r w:rsidRPr="0068182D">
        <w:rPr>
          <w:rFonts w:ascii="Times New Roman" w:hAnsi="Times New Roman" w:cs="Times New Roman"/>
          <w:sz w:val="28"/>
          <w:szCs w:val="28"/>
        </w:rPr>
        <w:t>With payments surpluses during</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tbl>
      <w:tblPr>
        <w:tblW w:w="0" w:type="auto"/>
        <w:tblInd w:w="1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3807"/>
        <w:gridCol w:w="844"/>
        <w:gridCol w:w="844"/>
        <w:gridCol w:w="564"/>
      </w:tblGrid>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Current Account</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4.4</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Balance on goods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1.0</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Imports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-360.8</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Exports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361.9</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Balance on services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14.9</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Balance on income</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7.6</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Current transfers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-19.2</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Capital Account</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-8.2</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Financial Account</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-0.7</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Direct investment abroad</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-0.7</w:t>
            </w:r>
          </w:p>
        </w:tc>
        <w:tc>
          <w:tcPr>
            <w:tcW w:w="0" w:type="auto"/>
            <w:shd w:val="clear" w:color="auto" w:fill="FFFFFF"/>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Direct investment abroad</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-57.4</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Direct investment in France</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47.8</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Portfolio investment assets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-147.5</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Portfolio investment liabilities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136.2</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Financial derivatives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-7.1</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Other investment assets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-20.0</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Other investment liabilities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47.4</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Net Errors and Omissions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5.8</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Reserves and Related Items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-1.3</w:t>
            </w:r>
          </w:p>
        </w:tc>
      </w:tr>
      <w:tr w:rsidR="004379E3" w:rsidRPr="008E2EAF" w:rsidTr="00BE3110">
        <w:tc>
          <w:tcPr>
            <w:tcW w:w="0" w:type="auto"/>
            <w:gridSpan w:val="4"/>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data not available or not significant.</w:t>
            </w:r>
          </w:p>
        </w:tc>
      </w:tr>
    </w:tbl>
    <w:p w:rsidR="009663D3" w:rsidRDefault="009663D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Most of the 1960s, gold and currency reserve holdings rose to $6.9 billion by the end of 1967. However, a massive deficit in 1968 led to another devaluation of the franc in 1969, and by 31 December 1969, gold and reserve holdings had dropped to $3.8 billion. After surpluses in 1970–72 raised international reserves to over $10 billion, price increases for oil and other raw materials resulted in substantial negative balances on current accounts in 1973 and 1974; because of this, France required massive infusions of shortterm capital to meet its payments obligations.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Huge surpluses on the services account led to positive payments balances during 1977–80, when reserves rose by nearly $9.7 billion. After that, France's trade position deteriorated sharply. Foreign exchange reserves fell from $27.8 billion as of March 1981 to $14.1 billion by March 1983. To meet its payments obligation, France had to secure a $4 billion standby credit from international banks as well as loans from </w:t>
      </w:r>
      <w:hyperlink r:id="rId93" w:history="1">
        <w:r w:rsidRPr="0068182D">
          <w:rPr>
            <w:rFonts w:ascii="Times New Roman" w:hAnsi="Times New Roman" w:cs="Times New Roman"/>
            <w:sz w:val="28"/>
            <w:szCs w:val="28"/>
            <w:lang w:val="en-US"/>
          </w:rPr>
          <w:t>Saudi Arabia</w:t>
        </w:r>
      </w:hyperlink>
      <w:r w:rsidRPr="0068182D">
        <w:rPr>
          <w:rFonts w:ascii="Times New Roman" w:hAnsi="Times New Roman" w:cs="Times New Roman"/>
          <w:sz w:val="28"/>
          <w:szCs w:val="28"/>
          <w:lang w:val="en-US"/>
        </w:rPr>
        <w:t> and the EC. During the mid-1980s, the trade deficit generally moderated; the current accounts balance recovered in 1985 from the heavy deficits of the past.</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1992, the merchandise trade account recorded a surplus after having recorded a significant deficit of 1990. Trade in industrial goods (including military equipment) and a surplus in the manufacturing sector (the first since 1986) were responsible for the boost in exports. Economic growth rose throughout 1994 due to exports to English-speaking countries and a strong economy in Europe. Exports of both goods and services significantly contributed to GDP growth in 1995 with exports of goods totaling $270.4 billion and imports totaling $259.2 billion, resulting in a trade balance on goods of $11.2 billion. Exports of services totaled $97.8 billion while imports totaled $78.5 billion, resulting in a balance on services of $19.2 billion.</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Although France in recent years has run consistent trade and current account surpluses, the country's trade balance showed a deficit in 2001, the first since 1991. It turned around in 2002. The value of merchandise exports in 2004 totaled $421.1 billion, while imports totaled $429.1 billion, resulting in a trade deficit of $7.9 billion. Total trade for 2004 amounted to $858.2 billion, over 40% of GDP. France for several years had posted surpluses on the services and investment income balances. Nevertheless, the current account recorded a deficit of $4.8 billion, or 2% of GDP in 2004.</w:t>
      </w:r>
    </w:p>
    <w:p w:rsidR="004379E3" w:rsidRPr="0068182D" w:rsidRDefault="004379E3" w:rsidP="00C40532">
      <w:pPr>
        <w:shd w:val="clear" w:color="auto" w:fill="FFFFFF"/>
        <w:spacing w:after="0" w:line="240" w:lineRule="auto"/>
        <w:ind w:firstLine="567"/>
        <w:jc w:val="both"/>
        <w:outlineLvl w:val="1"/>
        <w:rPr>
          <w:rFonts w:ascii="Times New Roman" w:hAnsi="Times New Roman" w:cs="Times New Roman"/>
          <w:sz w:val="28"/>
          <w:szCs w:val="28"/>
          <w:lang w:val="en-US"/>
        </w:rPr>
      </w:pPr>
      <w:r w:rsidRPr="0068182D">
        <w:rPr>
          <w:rFonts w:ascii="Times New Roman" w:hAnsi="Times New Roman" w:cs="Times New Roman"/>
          <w:sz w:val="28"/>
          <w:szCs w:val="28"/>
          <w:lang w:val="en-US"/>
        </w:rPr>
        <w:t>BANKING AND SECURITIES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Banque de France, founded in 1800, came completely under government control in 1945. It is the bank of issue, sets discount rates and maximum discounts for each bank, regulates public and private finance, and is the Treasury depository. In 1945, a provisional government headed by Gen. de Gaulle also nationalized France's four largest commercial banks, and the state thus came to control 55% of all deposits. The four banks were Crédit Lyonnais, the Société Générale, the Banque Nationale pour le Commerce et l'Industrie, and the Comptoir National d'Escompte de Paris. In 1966, the Banque Nationale and the Comptoir merged and formed the Banque Nationale de Paris (BNP).</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1982, Socialist president François Mitterrand nationalized 39 banks, bringing the state's control over deposits to 90%. Among leading banks nationalized in 1982 was the Crédit Commercial de France, but this bank and Société Générale were privatized in 1987 by the Chirac government.</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France's (and Europe's) biggest bank is a curiosity. Crédit Agricole, founded at the end of the 19th century, was for most of its life a federation of rurally based mutual credit organizations. It has preserved its rural base and plays the leading role in providing farmers with state-subsidized loans. After 1982 it was allowed to pursue a policy of diversification, so that farmers eventually accounted for only 15% of its customers. In 1995 Crédit Agricole was listed as the eighth-biggest bank in the world, being preceded by six Japanese banks and HSBC Holdings.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1999, BNP and rival Société Générale attempted to take over another private bank, Paribas. Concurrently, BNP was waging a takeover bid for Société Générale itself. Ultimately, BNP won outright control of Paribas, but only 36.8% of the shares of Société Générale.</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La Poste, the postal service, which in France is an independent public entity, also offers financial services and held about 10% of the market in 2002. By virtue of the Banking Act of January 1984, the main regulatory authority for the banking sector is the Commission Bancaire. It is presided over by the governor of the Banque de France. The International Monetary Fund reports that in 2001, currency and demand deposits—an aggregate commonly known as M1—were equal to $300.4 billion. In that same year, M2—an aggregate equal to M1 plus savings deposits, small time deposits, and money market mutual funds—was $896.5 billion.</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Public issues of stocks and bonds may be floated by corporations or by limited partnerships with shares. Publicly held companies that wish their stock to be traded on the exchange must receive prior authorization from the Stock Exchange Commission within the Ministry of Finance. In January 1962, the two principal Paris stock exchanges were merged. The six provincial exchanges specialize in shares of medium-size and small firms in their respective regions. In 2004, a total of 701 companies were listed on EURONEXT Paris. Total market capitalization in that same year came to $1,857.235 billion. In 2004, the CAC 40 index was up 7.4% from the previous year to 3,821.2.</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Measured by stock market capitalization, the Paris Bourse is the third-largest in Europe after London and Frankfurt. The Lyon Bourse is the most active provincial stock exchange. MATIF (marché à terme des instruments financiers), the financial futures exchange, was opened in Paris in 1986 and has proved a success. The Société des Bourses Françaises (SBF), the operator of the French stock market, has been determinedly pursuing a policy of reform and modernization, and it expects to benefit from the liberalization of financial services brought about by the EU's Investment Services Directive (ISD). French legislation, providing for the liberalization of financial services, transposed the directive into national law.</w:t>
      </w:r>
    </w:p>
    <w:p w:rsidR="004379E3" w:rsidRPr="0068182D" w:rsidRDefault="004379E3" w:rsidP="00C40532">
      <w:pPr>
        <w:shd w:val="clear" w:color="auto" w:fill="FFFFFF"/>
        <w:spacing w:after="0" w:line="240" w:lineRule="auto"/>
        <w:ind w:firstLine="567"/>
        <w:jc w:val="both"/>
        <w:outlineLvl w:val="1"/>
        <w:rPr>
          <w:rFonts w:ascii="Times New Roman" w:hAnsi="Times New Roman" w:cs="Times New Roman"/>
          <w:sz w:val="28"/>
          <w:szCs w:val="28"/>
          <w:lang w:val="en-US"/>
        </w:rPr>
      </w:pPr>
      <w:r w:rsidRPr="0068182D">
        <w:rPr>
          <w:rFonts w:ascii="Times New Roman" w:hAnsi="Times New Roman" w:cs="Times New Roman"/>
          <w:sz w:val="28"/>
          <w:szCs w:val="28"/>
          <w:lang w:val="en-US"/>
        </w:rPr>
        <w:t>INSURANCE</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Insurance is supervised by the government directorate of insurance, while reinsurance is regulated by the Ministry of Commerce. In 1946, a total of 32 major insurance companies were nationalized, and a central reinsurance institute was organized. All private insurance companies are required to place a portion of their reinsurance with the central reinsurance institute. In France, workers' compensation, tenants' property damage, third-party automobile, hunter's liability insurance, and professional indemnity for some professions are among those insurance lines that are compulsory.</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However, as of 1996, the insurance sector was being shifted completely into private hands. Union des Assurances de Paris (UAP), which is France's largest insurance group, was privatized in 1994. The combining of insurance services with retail banking has become fashionable in recent years, hence the neologism </w:t>
      </w:r>
      <w:r w:rsidRPr="0068182D">
        <w:rPr>
          <w:rFonts w:ascii="Times New Roman" w:hAnsi="Times New Roman" w:cs="Times New Roman"/>
          <w:i/>
          <w:iCs/>
          <w:sz w:val="28"/>
          <w:szCs w:val="28"/>
          <w:lang w:val="en-US"/>
        </w:rPr>
        <w:t>bancassurance.</w:t>
      </w:r>
      <w:r w:rsidRPr="0068182D">
        <w:rPr>
          <w:rFonts w:ascii="Times New Roman" w:hAnsi="Times New Roman" w:cs="Times New Roman"/>
          <w:sz w:val="28"/>
          <w:szCs w:val="28"/>
          <w:lang w:val="en-US"/>
        </w:rPr>
        <w:t> Partners in this practice are UAP and BNP. Another development has been to forge alliances across the </w:t>
      </w:r>
      <w:hyperlink r:id="rId94" w:history="1">
        <w:r w:rsidRPr="0068182D">
          <w:rPr>
            <w:rFonts w:ascii="Times New Roman" w:hAnsi="Times New Roman" w:cs="Times New Roman"/>
            <w:sz w:val="28"/>
            <w:szCs w:val="28"/>
            <w:lang w:val="en-US"/>
          </w:rPr>
          <w:t>Rhine</w:t>
        </w:r>
      </w:hyperlink>
      <w:r w:rsidRPr="0068182D">
        <w:rPr>
          <w:rFonts w:ascii="Times New Roman" w:hAnsi="Times New Roman" w:cs="Times New Roman"/>
          <w:sz w:val="28"/>
          <w:szCs w:val="28"/>
          <w:lang w:val="en-US"/>
        </w:rPr>
        <w:t> in Germany. Since July 1994, insurers registered in other European Union (EU) countries have been able to write risks in France under the EU Non-Life Directive.</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2003, the value of direct premiums written totaled $163.679 billion, of which life premiums totaled $105.436 billion. In 2002, Groupama GAN was France's leading nonlife insurer, with $7.5 billion of nonlife premiums written. CNP was the leading life insurer, that same year, with $15.3 billion in written life premiums.</w:t>
      </w:r>
    </w:p>
    <w:p w:rsidR="004379E3" w:rsidRPr="0068182D" w:rsidRDefault="004379E3" w:rsidP="00C40532">
      <w:pPr>
        <w:shd w:val="clear" w:color="auto" w:fill="FFFFFF"/>
        <w:spacing w:after="0" w:line="240" w:lineRule="auto"/>
        <w:ind w:right="22"/>
        <w:jc w:val="both"/>
        <w:rPr>
          <w:rStyle w:val="hps"/>
          <w:rFonts w:ascii="Times New Roman" w:hAnsi="Times New Roman" w:cs="Times New Roman"/>
          <w:b/>
          <w:sz w:val="28"/>
          <w:szCs w:val="28"/>
          <w:lang w:val="en-US"/>
        </w:rPr>
      </w:pPr>
    </w:p>
    <w:p w:rsidR="004379E3" w:rsidRPr="0068182D" w:rsidRDefault="004379E3" w:rsidP="00C40532">
      <w:pPr>
        <w:shd w:val="clear" w:color="auto" w:fill="FFFFFF"/>
        <w:spacing w:after="0" w:line="240" w:lineRule="auto"/>
        <w:ind w:right="22" w:firstLine="567"/>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4.</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composition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revenues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expenditures of local budgets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their importance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in financing</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social infrastructure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area</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France has a highly developed social welfare system. The social security fund is financed by contributions from both employers and employees, calculated on percentages of wages and salaries, and is partially subsidized by the government. Old age insurance guarantees payment of a pension when the insured reaches age 60. Disability insurance pays a pension to compensate for the loss of earnings and costs of care. Unemployment insurance is provided for all workers. Workers' medical benefits are paid directly for all necessary care. Maternity benefits are payable for six weeks before and 10 weeks after the expected date of childbirth for the first and second child. There is a universal system of family allowances for all residents, including a birth grant, income supplements for reduced work, and child care benefits.</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Equal pay for equal work is mandated by law, although this is not always the case in practice. Men continue to earn more than women and unemployment rates are higher for women than for men. Sexual harassment is illegal in the workplace and is generally effectively enforced. In 2004 legislation was passed creating a High Authority to Fight Discrimination and Promote Equality. Rape and spousal abuse laws are strictly enforced and the penalties are severe. Shelters, counseling, and hotlines are available to victims of sexual abuse and violence.</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Religious freedom is provided for by the constitution. However, large Arab/Muslim, African, and Jewish communities have been subject to harassment and prejudice. Extremist anti-immigrant groups have increasingly been involved in racial attacks. Discrimination on the basis of race, sex, disability, language, religion, or social status is prohibited.</w:t>
      </w:r>
    </w:p>
    <w:p w:rsidR="004379E3" w:rsidRPr="009663D3" w:rsidRDefault="004379E3" w:rsidP="00C40532">
      <w:pPr>
        <w:pStyle w:val="2"/>
        <w:shd w:val="clear" w:color="auto" w:fill="FFFFFF"/>
        <w:spacing w:before="0" w:beforeAutospacing="0" w:after="0" w:afterAutospacing="0"/>
        <w:ind w:firstLine="567"/>
        <w:jc w:val="both"/>
        <w:rPr>
          <w:b w:val="0"/>
          <w:bCs w:val="0"/>
          <w:sz w:val="28"/>
          <w:szCs w:val="28"/>
          <w:lang w:val="en-US"/>
        </w:rPr>
      </w:pPr>
      <w:r w:rsidRPr="009663D3">
        <w:rPr>
          <w:b w:val="0"/>
          <w:bCs w:val="0"/>
          <w:sz w:val="28"/>
          <w:szCs w:val="28"/>
          <w:lang w:val="en-US"/>
        </w:rPr>
        <w:t>HEALTH</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Under the French system of health care, both public and private health care providers operate through centralized funding. Patients have the option of seeing a private doctor on a fee basis or going to a state-operated facility. Nearly all private doctors are affiliated with the social security system and the patients' expenses are reimbursed in part. Many have private health insurance to cover the difference. During the 1980s, there was a trend away from inpatient and toward outpatient care, with a growing number of patients receiving care at home. Cost containment initiatives were raised in the 1980s and early 1990s to increase patient contributions and establish global budgets for public hospitals. In 1991, new reforms to strengthen the public sector were initiated. The social security system subsidizes approximately 75% of all health care costs. Pharmaceutical consumption in France is among the highest of all OECD member countries (exceeded only by Japan and the United States). In 1992, the French government imposed a price-fixing mechanism on drugs.</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France's birth rate was estimated at 11.9 per 1000 in 2002. Approximately 79% of France's married women (ages 15 to 49) used contraception. The total fertility rate in 2000 was 1.9 children per woman during her childbearing years.</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As of 2004, there were an estimated 329 physicians, 667 nurses, 68 dentists, and 101 pharmacists per 100,000 people. Life expectancy in 2005 averaged 79.6. The infant mortality rate was 4.26 per 1,000 live births that year. The overall death rate was an estimated 9.1 per 1,000 people as of 2002. Tobacco and alcohol consumption continue to be health concerns in France.</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Efforts to immunize children up to one year old include: diphtheria, pertussis, and tetanus, polio, and measles. The HIV/AIDS prevalence was 0.40 per 100 adults in 2003. As of 2004, there were approximately 120,000 people living with HIV/AIDS in the country. There were an estimated 1,000 deaths from</w:t>
      </w:r>
      <w:r w:rsidRPr="009663D3">
        <w:rPr>
          <w:rStyle w:val="apple-converted-space"/>
          <w:sz w:val="28"/>
          <w:szCs w:val="28"/>
          <w:lang w:val="en-US"/>
        </w:rPr>
        <w:t> </w:t>
      </w:r>
      <w:hyperlink r:id="rId95" w:history="1">
        <w:r w:rsidRPr="009663D3">
          <w:rPr>
            <w:rStyle w:val="a5"/>
            <w:color w:val="auto"/>
            <w:sz w:val="28"/>
            <w:szCs w:val="28"/>
            <w:lang w:val="en-US"/>
          </w:rPr>
          <w:t>AIDS</w:t>
        </w:r>
      </w:hyperlink>
      <w:r w:rsidRPr="009663D3">
        <w:rPr>
          <w:rStyle w:val="apple-converted-space"/>
          <w:sz w:val="28"/>
          <w:szCs w:val="28"/>
          <w:lang w:val="en-US"/>
        </w:rPr>
        <w:t> </w:t>
      </w:r>
      <w:r w:rsidRPr="009663D3">
        <w:rPr>
          <w:sz w:val="28"/>
          <w:szCs w:val="28"/>
          <w:lang w:val="en-US"/>
        </w:rPr>
        <w:t>in 2003.</w:t>
      </w:r>
    </w:p>
    <w:p w:rsidR="004379E3" w:rsidRPr="009663D3" w:rsidRDefault="004379E3" w:rsidP="00C40532">
      <w:pPr>
        <w:pStyle w:val="2"/>
        <w:shd w:val="clear" w:color="auto" w:fill="FFFFFF"/>
        <w:spacing w:before="0" w:beforeAutospacing="0" w:after="0" w:afterAutospacing="0"/>
        <w:ind w:firstLine="567"/>
        <w:jc w:val="both"/>
        <w:rPr>
          <w:b w:val="0"/>
          <w:bCs w:val="0"/>
          <w:sz w:val="28"/>
          <w:szCs w:val="28"/>
          <w:lang w:val="en-US"/>
        </w:rPr>
      </w:pPr>
      <w:r w:rsidRPr="009663D3">
        <w:rPr>
          <w:b w:val="0"/>
          <w:bCs w:val="0"/>
          <w:sz w:val="28"/>
          <w:szCs w:val="28"/>
          <w:lang w:val="en-US"/>
        </w:rPr>
        <w:t>HOUSING</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In 2004, there were 30.3 million dwellings nationwide. About 25.4 million, or 84%, were primary residences, 2.9 million were second homes, and about 1.8 million, or 6.1%, were vacant. About 58% of all dwellings are detached homes. The number of people per household was about 2.3. Over 2.9 million residential buildings were built in 1990 or later.</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After World War II, in which 4.2 million dwellings were destroyed and one million damaged, the government took steps to provide inexpensive public housing. Annual construction rose steadily through the 1950s and 1960s; in 1970–75, housing construction of all types increased by an annual average of more than 6%. In 1975, the total number of new dwellings completed was 514,300. Construction slowed thereafter, and by 1996 the number had declined to 236,270.</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In accordance with a law of 1953, industrial and commercial firms employing 10 or more wage earners must invest 1% of their total payroll in housing projects for their employees. These funds can finance either public or private low-cost housing. Concerns must undertake construction of low-cost projects either on their own responsibility or through a building concern to which they supply capital. Special housing allowances are provided for families who must spend an inordinately large share of their income on rent or mortgages.</w:t>
      </w:r>
    </w:p>
    <w:p w:rsidR="004379E3" w:rsidRPr="009663D3" w:rsidRDefault="004379E3" w:rsidP="00C40532">
      <w:pPr>
        <w:pStyle w:val="2"/>
        <w:shd w:val="clear" w:color="auto" w:fill="FFFFFF"/>
        <w:spacing w:before="0" w:beforeAutospacing="0" w:after="0" w:afterAutospacing="0"/>
        <w:ind w:firstLine="567"/>
        <w:jc w:val="both"/>
        <w:rPr>
          <w:b w:val="0"/>
          <w:bCs w:val="0"/>
          <w:sz w:val="28"/>
          <w:szCs w:val="28"/>
          <w:lang w:val="en-US"/>
        </w:rPr>
      </w:pPr>
      <w:r w:rsidRPr="009663D3">
        <w:rPr>
          <w:b w:val="0"/>
          <w:bCs w:val="0"/>
          <w:sz w:val="28"/>
          <w:szCs w:val="28"/>
          <w:lang w:val="en-US"/>
        </w:rPr>
        <w:t>EDUCATION</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The supreme authority over national education in France is the Ministry of Education. Education is compulsory for children from the age of 6 to 16 and is free in all state primary and secondary schools. Higher education is not free, but academic fees are low, and more than half of the students are excused from payment.</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Since the end of 1959, private institutions have been authorized to receive state aid and to ask to be integrated into the public education system. In 2003, about 15% of elementary-school children and 25% of secondary-level students attended private schools, the majority of which are Roman Catholic. In Brittany, most children attend Catholic schools. Freedom of education is guaranteed by law, but the state exercises certain controls over private educational institutions, nearly all of which follow the uniform curriculum prescribed by the Ministry of Education.</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Primary school covers five years of study. There are two levels of secondary instruction. The first, the collège, is compulsory; after four years of schooling are successfully completed, the student receives a national diploma (</w:t>
      </w:r>
      <w:r w:rsidRPr="009663D3">
        <w:rPr>
          <w:i/>
          <w:iCs/>
          <w:sz w:val="28"/>
          <w:szCs w:val="28"/>
          <w:lang w:val="en-US"/>
        </w:rPr>
        <w:t>brevet des collèges</w:t>
      </w:r>
      <w:r w:rsidRPr="009663D3">
        <w:rPr>
          <w:rStyle w:val="apple-converted-space"/>
          <w:sz w:val="28"/>
          <w:szCs w:val="28"/>
          <w:lang w:val="en-US"/>
        </w:rPr>
        <w:t> </w:t>
      </w:r>
      <w:r w:rsidRPr="009663D3">
        <w:rPr>
          <w:sz w:val="28"/>
          <w:szCs w:val="28"/>
          <w:lang w:val="en-US"/>
        </w:rPr>
        <w:t>). Th ose who wish to pursue further studies enter either the two-year</w:t>
      </w:r>
      <w:r w:rsidRPr="009663D3">
        <w:rPr>
          <w:rStyle w:val="apple-converted-space"/>
          <w:sz w:val="28"/>
          <w:szCs w:val="28"/>
          <w:lang w:val="en-US"/>
        </w:rPr>
        <w:t> </w:t>
      </w:r>
      <w:r w:rsidRPr="009663D3">
        <w:rPr>
          <w:i/>
          <w:iCs/>
          <w:sz w:val="28"/>
          <w:szCs w:val="28"/>
          <w:lang w:val="en-US"/>
        </w:rPr>
        <w:t>lycée d'enseignement professionel</w:t>
      </w:r>
      <w:r w:rsidRPr="009663D3">
        <w:rPr>
          <w:rStyle w:val="apple-converted-space"/>
          <w:sz w:val="28"/>
          <w:szCs w:val="28"/>
          <w:lang w:val="en-US"/>
        </w:rPr>
        <w:t> </w:t>
      </w:r>
      <w:r w:rsidRPr="009663D3">
        <w:rPr>
          <w:sz w:val="28"/>
          <w:szCs w:val="28"/>
          <w:lang w:val="en-US"/>
        </w:rPr>
        <w:t>or the three-year</w:t>
      </w:r>
      <w:r w:rsidRPr="009663D3">
        <w:rPr>
          <w:rStyle w:val="apple-converted-space"/>
          <w:sz w:val="28"/>
          <w:szCs w:val="28"/>
          <w:lang w:val="en-US"/>
        </w:rPr>
        <w:t> </w:t>
      </w:r>
      <w:r w:rsidRPr="009663D3">
        <w:rPr>
          <w:i/>
          <w:iCs/>
          <w:sz w:val="28"/>
          <w:szCs w:val="28"/>
          <w:lang w:val="en-US"/>
        </w:rPr>
        <w:t>lycée d'enseignement général et technologique</w:t>
      </w:r>
      <w:r w:rsidRPr="009663D3">
        <w:rPr>
          <w:sz w:val="28"/>
          <w:szCs w:val="28"/>
          <w:lang w:val="en-US"/>
        </w:rPr>
        <w:t>. The former prepares students for a certificate of vocational competence, the latter for the</w:t>
      </w:r>
      <w:r w:rsidRPr="009663D3">
        <w:rPr>
          <w:rStyle w:val="apple-converted-space"/>
          <w:sz w:val="28"/>
          <w:szCs w:val="28"/>
          <w:lang w:val="en-US"/>
        </w:rPr>
        <w:t> </w:t>
      </w:r>
      <w:r w:rsidRPr="009663D3">
        <w:rPr>
          <w:i/>
          <w:iCs/>
          <w:sz w:val="28"/>
          <w:szCs w:val="28"/>
          <w:lang w:val="en-US"/>
        </w:rPr>
        <w:t>baccalauréat</w:t>
      </w:r>
      <w:r w:rsidRPr="009663D3">
        <w:rPr>
          <w:sz w:val="28"/>
          <w:szCs w:val="28"/>
          <w:lang w:val="en-US"/>
        </w:rPr>
        <w:t>, which is a prerequisite for higher education. Choice of a</w:t>
      </w:r>
      <w:r w:rsidRPr="009663D3">
        <w:rPr>
          <w:rStyle w:val="apple-converted-space"/>
          <w:sz w:val="28"/>
          <w:szCs w:val="28"/>
          <w:lang w:val="en-US"/>
        </w:rPr>
        <w:t> </w:t>
      </w:r>
      <w:r w:rsidRPr="009663D3">
        <w:rPr>
          <w:i/>
          <w:iCs/>
          <w:sz w:val="28"/>
          <w:szCs w:val="28"/>
          <w:lang w:val="en-US"/>
        </w:rPr>
        <w:t>lycée</w:t>
      </w:r>
      <w:r w:rsidRPr="009663D3">
        <w:rPr>
          <w:rStyle w:val="apple-converted-space"/>
          <w:sz w:val="28"/>
          <w:szCs w:val="28"/>
          <w:lang w:val="en-US"/>
        </w:rPr>
        <w:t> </w:t>
      </w:r>
      <w:r w:rsidRPr="009663D3">
        <w:rPr>
          <w:sz w:val="28"/>
          <w:szCs w:val="28"/>
          <w:lang w:val="en-US"/>
        </w:rPr>
        <w:t>depends on aptitude test results. The academic year runs from September to June. The primary language of instruction is French.</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In 2001, nearly all children between the ages of three and five were enrolled in some type of preschool program. Primary school enrollment in 2003 was estimated at about 99% of age-eligible students. The same year, secondary school enrollment was about 94% of age-eligible students. It is estimated that about 98% of all students complete their primary education. The student-to-teacher ratio for primary school was at about 19:1 in 2003; the ratio for secondary school was about 12:1.</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There are about 70 public universities within 26</w:t>
      </w:r>
      <w:r w:rsidRPr="009663D3">
        <w:rPr>
          <w:rStyle w:val="apple-converted-space"/>
          <w:sz w:val="28"/>
          <w:szCs w:val="28"/>
          <w:lang w:val="en-US"/>
        </w:rPr>
        <w:t> </w:t>
      </w:r>
      <w:r w:rsidRPr="009663D3">
        <w:rPr>
          <w:i/>
          <w:iCs/>
          <w:sz w:val="28"/>
          <w:szCs w:val="28"/>
          <w:lang w:val="en-US"/>
        </w:rPr>
        <w:t>académies</w:t>
      </w:r>
      <w:r w:rsidRPr="009663D3">
        <w:rPr>
          <w:sz w:val="28"/>
          <w:szCs w:val="28"/>
          <w:lang w:val="en-US"/>
        </w:rPr>
        <w:t>, which now act as administrative units. Before the subdivision of these 26 units, the oldest and most important included Aix-Mar-seille (founded in 1409), Besançon (1691), Bordeaux (1441),</w:t>
      </w:r>
      <w:r w:rsidRPr="009663D3">
        <w:rPr>
          <w:rStyle w:val="apple-converted-space"/>
          <w:sz w:val="28"/>
          <w:szCs w:val="28"/>
          <w:lang w:val="en-US"/>
        </w:rPr>
        <w:t> </w:t>
      </w:r>
      <w:hyperlink r:id="rId96" w:history="1">
        <w:r w:rsidRPr="009663D3">
          <w:rPr>
            <w:rStyle w:val="a5"/>
            <w:color w:val="auto"/>
            <w:sz w:val="28"/>
            <w:szCs w:val="28"/>
            <w:lang w:val="en-US"/>
          </w:rPr>
          <w:t>Caen</w:t>
        </w:r>
      </w:hyperlink>
      <w:r w:rsidRPr="009663D3">
        <w:rPr>
          <w:rStyle w:val="apple-converted-space"/>
          <w:sz w:val="28"/>
          <w:szCs w:val="28"/>
          <w:lang w:val="en-US"/>
        </w:rPr>
        <w:t> </w:t>
      </w:r>
      <w:r w:rsidRPr="009663D3">
        <w:rPr>
          <w:sz w:val="28"/>
          <w:szCs w:val="28"/>
          <w:lang w:val="en-US"/>
        </w:rPr>
        <w:t>(1432), Dijon (1722), Grenoble (1339), Lille (1562), Montpellier (1180, reinstituted 1289), Nancy-Metz (1572), Paris (1150), Poitiers (1432), Rennes (1735, founded at Nantes 1461), Strasbourg (1538), and Toulouse (1229). The old University of Paris, also referred to as the</w:t>
      </w:r>
      <w:r w:rsidRPr="009663D3">
        <w:rPr>
          <w:rStyle w:val="apple-converted-space"/>
          <w:sz w:val="28"/>
          <w:szCs w:val="28"/>
          <w:lang w:val="en-US"/>
        </w:rPr>
        <w:t> </w:t>
      </w:r>
      <w:hyperlink r:id="rId97" w:history="1">
        <w:r w:rsidRPr="009663D3">
          <w:rPr>
            <w:rStyle w:val="a5"/>
            <w:color w:val="auto"/>
            <w:sz w:val="28"/>
            <w:szCs w:val="28"/>
            <w:lang w:val="en-US"/>
          </w:rPr>
          <w:t>Sorbonne</w:t>
        </w:r>
      </w:hyperlink>
      <w:r w:rsidRPr="009663D3">
        <w:rPr>
          <w:sz w:val="28"/>
          <w:szCs w:val="28"/>
          <w:lang w:val="en-US"/>
        </w:rPr>
        <w:t>, was the oldest in France and one of the leading institutions of higher learning in the world; it is now divided into 13 units, only a few of which are at the ancient Left Bank site. There are Catholic universities at Argers, Lille, Lyon, and Toulouse.</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Besides the universities and specialized schools (such as</w:t>
      </w:r>
      <w:r w:rsidRPr="009663D3">
        <w:rPr>
          <w:rStyle w:val="apple-converted-space"/>
          <w:sz w:val="28"/>
          <w:szCs w:val="28"/>
          <w:lang w:val="en-US"/>
        </w:rPr>
        <w:t> </w:t>
      </w:r>
      <w:r w:rsidRPr="009663D3">
        <w:rPr>
          <w:sz w:val="28"/>
          <w:szCs w:val="28"/>
          <w:lang w:val="en-US"/>
        </w:rPr>
        <w:t>École Normale Supérieure, which prepares teachers for secondary and postsecondary positions), higher educational institutions include the prestigious Grandes</w:t>
      </w:r>
      <w:r w:rsidRPr="009663D3">
        <w:rPr>
          <w:rStyle w:val="apple-converted-space"/>
          <w:sz w:val="28"/>
          <w:szCs w:val="28"/>
          <w:lang w:val="en-US"/>
        </w:rPr>
        <w:t> </w:t>
      </w:r>
      <w:r w:rsidRPr="009663D3">
        <w:rPr>
          <w:sz w:val="28"/>
          <w:szCs w:val="28"/>
          <w:lang w:val="en-US"/>
        </w:rPr>
        <w:t>Écoles, which include the</w:t>
      </w:r>
      <w:r w:rsidRPr="009663D3">
        <w:rPr>
          <w:rStyle w:val="apple-converted-space"/>
          <w:sz w:val="28"/>
          <w:szCs w:val="28"/>
          <w:lang w:val="en-US"/>
        </w:rPr>
        <w:t> </w:t>
      </w:r>
      <w:r w:rsidRPr="009663D3">
        <w:rPr>
          <w:sz w:val="28"/>
          <w:szCs w:val="28"/>
          <w:lang w:val="en-US"/>
        </w:rPr>
        <w:t>École Nationale d'Administration,</w:t>
      </w:r>
      <w:r w:rsidRPr="009663D3">
        <w:rPr>
          <w:rStyle w:val="apple-converted-space"/>
          <w:sz w:val="28"/>
          <w:szCs w:val="28"/>
          <w:lang w:val="en-US"/>
        </w:rPr>
        <w:t> </w:t>
      </w:r>
      <w:r w:rsidRPr="009663D3">
        <w:rPr>
          <w:sz w:val="28"/>
          <w:szCs w:val="28"/>
          <w:lang w:val="en-US"/>
        </w:rPr>
        <w:t>École Normale Supérieure, Conservatoire National des Arts et Métiers, and</w:t>
      </w:r>
      <w:r w:rsidRPr="009663D3">
        <w:rPr>
          <w:rStyle w:val="apple-converted-space"/>
          <w:sz w:val="28"/>
          <w:szCs w:val="28"/>
          <w:lang w:val="en-US"/>
        </w:rPr>
        <w:t> </w:t>
      </w:r>
      <w:r w:rsidRPr="009663D3">
        <w:rPr>
          <w:sz w:val="28"/>
          <w:szCs w:val="28"/>
          <w:lang w:val="en-US"/>
        </w:rPr>
        <w:t>École Polytechnique. Entrance is by competitive examination. Advanced-level research organizations include the Collège de France,</w:t>
      </w:r>
      <w:r w:rsidRPr="009663D3">
        <w:rPr>
          <w:rStyle w:val="apple-converted-space"/>
          <w:sz w:val="28"/>
          <w:szCs w:val="28"/>
          <w:lang w:val="en-US"/>
        </w:rPr>
        <w:t> </w:t>
      </w:r>
      <w:r w:rsidRPr="009663D3">
        <w:rPr>
          <w:sz w:val="28"/>
          <w:szCs w:val="28"/>
          <w:lang w:val="en-US"/>
        </w:rPr>
        <w:t>École Pratique des Hautes</w:t>
      </w:r>
      <w:r w:rsidRPr="009663D3">
        <w:rPr>
          <w:rStyle w:val="apple-converted-space"/>
          <w:sz w:val="28"/>
          <w:szCs w:val="28"/>
          <w:lang w:val="en-US"/>
        </w:rPr>
        <w:t> </w:t>
      </w:r>
      <w:r w:rsidRPr="009663D3">
        <w:rPr>
          <w:sz w:val="28"/>
          <w:szCs w:val="28"/>
          <w:lang w:val="en-US"/>
        </w:rPr>
        <w:t>Études, and</w:t>
      </w:r>
      <w:r w:rsidRPr="009663D3">
        <w:rPr>
          <w:rStyle w:val="apple-converted-space"/>
          <w:sz w:val="28"/>
          <w:szCs w:val="28"/>
          <w:lang w:val="en-US"/>
        </w:rPr>
        <w:t> </w:t>
      </w:r>
      <w:r w:rsidRPr="009663D3">
        <w:rPr>
          <w:sz w:val="28"/>
          <w:szCs w:val="28"/>
          <w:lang w:val="en-US"/>
        </w:rPr>
        <w:t>École des Hautes</w:t>
      </w:r>
      <w:r w:rsidRPr="009663D3">
        <w:rPr>
          <w:rStyle w:val="apple-converted-space"/>
          <w:sz w:val="28"/>
          <w:szCs w:val="28"/>
          <w:lang w:val="en-US"/>
        </w:rPr>
        <w:t> </w:t>
      </w:r>
      <w:r w:rsidRPr="009663D3">
        <w:rPr>
          <w:sz w:val="28"/>
          <w:szCs w:val="28"/>
          <w:lang w:val="en-US"/>
        </w:rPr>
        <w:t>Études en Sciences Sociales. In 2003, about 56% of the tertiary age population were enrolled in some type of higher education program; with 49% for men and 63% for women. The adult literacy rate has been estimated at about 98%.</w:t>
      </w:r>
    </w:p>
    <w:p w:rsidR="004379E3" w:rsidRPr="009663D3" w:rsidRDefault="004379E3" w:rsidP="00C40532">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As of 2003, public expenditure on education was estimated at 5.6% of GDP, or 11.4% of total government expenditures.</w:t>
      </w:r>
    </w:p>
    <w:p w:rsidR="004379E3" w:rsidRPr="0068182D" w:rsidRDefault="004379E3" w:rsidP="00C40532">
      <w:pPr>
        <w:shd w:val="clear" w:color="auto" w:fill="FFFFFF"/>
        <w:spacing w:after="0" w:line="240" w:lineRule="auto"/>
        <w:ind w:right="22" w:firstLine="567"/>
        <w:jc w:val="both"/>
        <w:rPr>
          <w:rStyle w:val="hps"/>
          <w:rFonts w:ascii="Times New Roman" w:hAnsi="Times New Roman" w:cs="Times New Roman"/>
          <w:b/>
          <w:sz w:val="28"/>
          <w:szCs w:val="28"/>
          <w:lang w:val="en-US"/>
        </w:rPr>
      </w:pPr>
    </w:p>
    <w:p w:rsidR="004379E3" w:rsidRPr="0068182D" w:rsidRDefault="004379E3" w:rsidP="00C40532">
      <w:pPr>
        <w:shd w:val="clear" w:color="auto" w:fill="FFFFFF"/>
        <w:spacing w:after="0" w:line="240" w:lineRule="auto"/>
        <w:ind w:right="22" w:firstLine="567"/>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Specifics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tax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Characteristics of the main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types of taxes</w:t>
      </w:r>
      <w:r w:rsidRPr="0068182D">
        <w:rPr>
          <w:rFonts w:ascii="Times New Roman" w:hAnsi="Times New Roman" w:cs="Times New Roman"/>
          <w:b/>
          <w:sz w:val="28"/>
          <w:szCs w:val="28"/>
          <w:lang w:val="en-US"/>
        </w:rPr>
        <w:t>.</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 with most industrialized democratic systems, France's tax system is complex and nuanced, though also subject to recent movements to reductions and simplifications. The basic corporate income tax rate for filings in 2006 was 33.33%, with a social surcharge of 3.3% that is applied when the global corporate income tax charge is over €763,000. A 1.5% surcharge for 2005 was abolished for fiscal years ending on or after 1 January 2006. Long-term capital gains by firms were taxed at a basic rate of 15%, plus surcharges. However, starting in 2006, the tax rate on long-term gains from qualified shareholdings received by companies will drop to 8%. Short-term capital gains are taxed according to the progressive individual income tax schedule. The main local tax is the business tax, charged on 84% of a value derived from the rental value of the premises, 16% of the value fixed assets, and 18% of annual payroll, and at rates set by local authorities each year. The business tax (taxe professionelle) varies significantly from place to place, with a range of 0–4%.</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Individual income tax in France is assessed in accordance with a progressive schedule of statutory rates up to 48.09%. However, French tax law contains many provisions for exemptions and targeted reductions from taxable income, so that the actual income tax paid is highly individualized. Taxable capital gains for individuals include the sale of immovable property, securities and land (excluding bonds or the individual's primary residence). Gains that exceed the annual exemption are subject to a 27% tax rate. Past the fifth year, the capital gain is reduced by 10% per each year of ownership. Exempt are capital gains on the sale of the principal residence. If the sale of securities exceeds €15,000, the gains are taxed at a 27% rate.</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main indirect tax is the value-added tax (VAT) first introduced in January 1968. The standard rate in 2005 was 19.6%, with a 5.5% on most foodstuffs and agricultural products, medicines, hotel rooms, books, water and newspapers. A 2.1% rate applies to certain medicines that are reimbursed by the social security system. Nonindustrial businesses that do not pay the VAT on consumption (banks, insurance companies, the medical sector, associations, nonprofit organizations, etc.) pay a wage tax to cover social levies assessed according to a progressive schedule. Generally, social security contributions by employers range from range from approximately 35–45%, with the employee responsible for 18–23%. Inheritance taxes (succession duties) range from 5–60%, as do gift (donations) taxes. There is also a patrimonial tax of 3% on the fair market value of property owned in France, although foreign companies whose French financial assets are more than 50% are exempt. Also, foreign property holders may be exempt according to the terms of a bilateral tax treaty with France. (France is party to a numerous bilateral tax treaties with provisions that can greatly reduce tax liabilities for foreign investors.) Local taxes include a property tax, charged to owners of land and buildings, and a housing tax, charged to occupants of residential premises, assessed according to the rental value of the property. The social security system is operated separately from the general tax system, financed by contributions levied on earned income in accordance with four regimes: a general regime covering 80% of French citizens, a regime for agricultural workers, a special regime for civil servants and railway workers, and a regime for the self-employed. Tax levies have been used, however, to shore up the finances in the social security system.</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shd w:val="clear" w:color="auto" w:fill="FFFFFF"/>
          <w:lang w:val="en-US"/>
        </w:rPr>
        <w:t>There are many taxes in France. They can be classified according to the institution which collects and benefit from them and to the people who pay them. Taxes are monetary benefits imposed on people according to their capacities and without return of benefit, for the purpose of public expenditure to achieve economic and social goals set by the government. As for</w:t>
      </w:r>
      <w:r w:rsidRPr="0068182D">
        <w:rPr>
          <w:rStyle w:val="apple-converted-space"/>
          <w:rFonts w:ascii="Times New Roman" w:hAnsi="Times New Roman" w:cs="Times New Roman"/>
          <w:sz w:val="28"/>
          <w:szCs w:val="28"/>
          <w:shd w:val="clear" w:color="auto" w:fill="FFFFFF"/>
          <w:lang w:val="en-US"/>
        </w:rPr>
        <w:t> </w:t>
      </w:r>
      <w:hyperlink r:id="rId98" w:tooltip="Tariffs" w:history="1">
        <w:r w:rsidRPr="0068182D">
          <w:rPr>
            <w:rStyle w:val="a5"/>
            <w:rFonts w:ascii="Times New Roman" w:hAnsi="Times New Roman" w:cs="Times New Roman"/>
            <w:sz w:val="28"/>
            <w:szCs w:val="28"/>
            <w:shd w:val="clear" w:color="auto" w:fill="FFFFFF"/>
            <w:lang w:val="en-US"/>
          </w:rPr>
          <w:t>tariffs</w:t>
        </w:r>
      </w:hyperlink>
      <w:r w:rsidRPr="0068182D">
        <w:rPr>
          <w:rFonts w:ascii="Times New Roman" w:hAnsi="Times New Roman" w:cs="Times New Roman"/>
          <w:sz w:val="28"/>
          <w:szCs w:val="28"/>
          <w:shd w:val="clear" w:color="auto" w:fill="FFFFFF"/>
          <w:lang w:val="en-US"/>
        </w:rPr>
        <w:t>, they are different from taxes because of their strictly economic aspect; their purpose is to protect the</w:t>
      </w:r>
      <w:r w:rsidRPr="0068182D">
        <w:rPr>
          <w:rStyle w:val="apple-converted-space"/>
          <w:rFonts w:ascii="Times New Roman" w:hAnsi="Times New Roman" w:cs="Times New Roman"/>
          <w:sz w:val="28"/>
          <w:szCs w:val="28"/>
          <w:shd w:val="clear" w:color="auto" w:fill="FFFFFF"/>
          <w:lang w:val="en-US"/>
        </w:rPr>
        <w:t> </w:t>
      </w:r>
      <w:hyperlink r:id="rId99" w:tooltip="Domestic market" w:history="1">
        <w:r w:rsidRPr="0068182D">
          <w:rPr>
            <w:rStyle w:val="a5"/>
            <w:rFonts w:ascii="Times New Roman" w:hAnsi="Times New Roman" w:cs="Times New Roman"/>
            <w:sz w:val="28"/>
            <w:szCs w:val="28"/>
            <w:shd w:val="clear" w:color="auto" w:fill="FFFFFF"/>
            <w:lang w:val="en-US"/>
          </w:rPr>
          <w:t>domestic market</w:t>
        </w:r>
      </w:hyperlink>
      <w:r w:rsidRPr="0068182D">
        <w:rPr>
          <w:rFonts w:ascii="Times New Roman" w:hAnsi="Times New Roman" w:cs="Times New Roman"/>
          <w:sz w:val="28"/>
          <w:szCs w:val="28"/>
          <w:shd w:val="clear" w:color="auto" w:fill="FFFFFF"/>
          <w:lang w:val="en-US"/>
        </w:rPr>
        <w:t>. However, some charges levied by the customs administration are taxes: the</w:t>
      </w:r>
      <w:r w:rsidRPr="0068182D">
        <w:rPr>
          <w:rStyle w:val="apple-converted-space"/>
          <w:rFonts w:ascii="Times New Roman" w:hAnsi="Times New Roman" w:cs="Times New Roman"/>
          <w:sz w:val="28"/>
          <w:szCs w:val="28"/>
          <w:shd w:val="clear" w:color="auto" w:fill="FFFFFF"/>
          <w:lang w:val="en-US"/>
        </w:rPr>
        <w:t> </w:t>
      </w:r>
      <w:hyperlink r:id="rId100" w:tooltip="Value added tax" w:history="1">
        <w:r w:rsidRPr="0068182D">
          <w:rPr>
            <w:rStyle w:val="a5"/>
            <w:rFonts w:ascii="Times New Roman" w:hAnsi="Times New Roman" w:cs="Times New Roman"/>
            <w:sz w:val="28"/>
            <w:szCs w:val="28"/>
            <w:shd w:val="clear" w:color="auto" w:fill="FFFFFF"/>
            <w:lang w:val="en-US"/>
          </w:rPr>
          <w:t>value added tax</w:t>
        </w:r>
      </w:hyperlink>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levied on goods from non-members of the</w:t>
      </w:r>
      <w:r w:rsidRPr="0068182D">
        <w:rPr>
          <w:rStyle w:val="apple-converted-space"/>
          <w:rFonts w:ascii="Times New Roman" w:hAnsi="Times New Roman" w:cs="Times New Roman"/>
          <w:sz w:val="28"/>
          <w:szCs w:val="28"/>
          <w:shd w:val="clear" w:color="auto" w:fill="FFFFFF"/>
          <w:lang w:val="en-US"/>
        </w:rPr>
        <w:t> </w:t>
      </w:r>
      <w:hyperlink r:id="rId101" w:tooltip="European Union" w:history="1">
        <w:r w:rsidRPr="0068182D">
          <w:rPr>
            <w:rStyle w:val="a5"/>
            <w:rFonts w:ascii="Times New Roman" w:hAnsi="Times New Roman" w:cs="Times New Roman"/>
            <w:sz w:val="28"/>
            <w:szCs w:val="28"/>
            <w:shd w:val="clear" w:color="auto" w:fill="FFFFFF"/>
            <w:lang w:val="en-US"/>
          </w:rPr>
          <w:t>European Union</w:t>
        </w:r>
      </w:hyperlink>
      <w:r w:rsidRPr="0068182D">
        <w:rPr>
          <w:rFonts w:ascii="Times New Roman" w:hAnsi="Times New Roman" w:cs="Times New Roman"/>
          <w:sz w:val="28"/>
          <w:szCs w:val="28"/>
          <w:shd w:val="clear" w:color="auto" w:fill="FFFFFF"/>
          <w:lang w:val="en-US"/>
        </w:rPr>
        <w:t>, the tax on petroleum products, which applies regardless of the origin of products, and other taxes. Finally, although they are compulsory,</w:t>
      </w:r>
      <w:r w:rsidRPr="0068182D">
        <w:rPr>
          <w:rStyle w:val="apple-converted-space"/>
          <w:rFonts w:ascii="Times New Roman" w:hAnsi="Times New Roman" w:cs="Times New Roman"/>
          <w:sz w:val="28"/>
          <w:szCs w:val="28"/>
          <w:shd w:val="clear" w:color="auto" w:fill="FFFFFF"/>
          <w:lang w:val="en-US"/>
        </w:rPr>
        <w:t> </w:t>
      </w:r>
      <w:hyperlink r:id="rId102" w:tooltip="Payroll tax" w:history="1">
        <w:r w:rsidRPr="0068182D">
          <w:rPr>
            <w:rStyle w:val="a5"/>
            <w:rFonts w:ascii="Times New Roman" w:hAnsi="Times New Roman" w:cs="Times New Roman"/>
            <w:sz w:val="28"/>
            <w:szCs w:val="28"/>
            <w:shd w:val="clear" w:color="auto" w:fill="FFFFFF"/>
            <w:lang w:val="en-US"/>
          </w:rPr>
          <w:t>social security contributions</w:t>
        </w:r>
      </w:hyperlink>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are not taxes as they are collected for one purpose –</w:t>
      </w:r>
      <w:r w:rsidRPr="0068182D">
        <w:rPr>
          <w:rStyle w:val="apple-converted-space"/>
          <w:rFonts w:ascii="Times New Roman" w:hAnsi="Times New Roman" w:cs="Times New Roman"/>
          <w:sz w:val="28"/>
          <w:szCs w:val="28"/>
          <w:shd w:val="clear" w:color="auto" w:fill="FFFFFF"/>
          <w:lang w:val="en-US"/>
        </w:rPr>
        <w:t> </w:t>
      </w:r>
      <w:hyperlink r:id="rId103" w:tooltip="Welfare State" w:history="1">
        <w:r w:rsidRPr="0068182D">
          <w:rPr>
            <w:rStyle w:val="a5"/>
            <w:rFonts w:ascii="Times New Roman" w:hAnsi="Times New Roman" w:cs="Times New Roman"/>
            <w:sz w:val="28"/>
            <w:szCs w:val="28"/>
            <w:shd w:val="clear" w:color="auto" w:fill="FFFFFF"/>
            <w:lang w:val="en-US"/>
          </w:rPr>
          <w:t>social protection</w:t>
        </w:r>
      </w:hyperlink>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 and as the taxpayers might benefit from these expenses. Some other taxes, based on personal income, are allocated to social agencies and do not give taxpayers the right to benefit from them.</w:t>
      </w:r>
      <w:r w:rsidRPr="0068182D">
        <w:rPr>
          <w:rFonts w:ascii="Times New Roman" w:hAnsi="Times New Roman" w:cs="Times New Roman"/>
          <w:sz w:val="28"/>
          <w:szCs w:val="28"/>
          <w:lang w:val="en-US"/>
        </w:rPr>
        <w:t xml:space="preserve"> </w:t>
      </w:r>
    </w:p>
    <w:p w:rsidR="004379E3" w:rsidRPr="0068182D" w:rsidRDefault="004379E3" w:rsidP="00C40532">
      <w:pPr>
        <w:shd w:val="clear" w:color="auto" w:fill="FFFFFF"/>
        <w:spacing w:after="0" w:line="240" w:lineRule="auto"/>
        <w:ind w:firstLine="384"/>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Taxes generally fall into the following broad categories:</w:t>
      </w:r>
    </w:p>
    <w:p w:rsidR="004379E3" w:rsidRPr="0068182D" w:rsidRDefault="00CD577A" w:rsidP="000537F4">
      <w:pPr>
        <w:numPr>
          <w:ilvl w:val="0"/>
          <w:numId w:val="15"/>
        </w:numPr>
        <w:shd w:val="clear" w:color="auto" w:fill="FFFFFF"/>
        <w:spacing w:after="0" w:line="240" w:lineRule="auto"/>
        <w:ind w:left="384" w:firstLine="42"/>
        <w:jc w:val="both"/>
        <w:rPr>
          <w:rFonts w:ascii="Times New Roman" w:hAnsi="Times New Roman" w:cs="Times New Roman"/>
          <w:sz w:val="28"/>
          <w:szCs w:val="28"/>
        </w:rPr>
      </w:pPr>
      <w:hyperlink r:id="rId104" w:tooltip="Income tax" w:history="1">
        <w:r w:rsidR="004379E3" w:rsidRPr="0068182D">
          <w:rPr>
            <w:rFonts w:ascii="Times New Roman" w:hAnsi="Times New Roman" w:cs="Times New Roman"/>
            <w:sz w:val="28"/>
            <w:szCs w:val="28"/>
          </w:rPr>
          <w:t>Income tax</w:t>
        </w:r>
      </w:hyperlink>
    </w:p>
    <w:p w:rsidR="004379E3" w:rsidRPr="0068182D" w:rsidRDefault="00CD577A" w:rsidP="000537F4">
      <w:pPr>
        <w:numPr>
          <w:ilvl w:val="0"/>
          <w:numId w:val="15"/>
        </w:numPr>
        <w:shd w:val="clear" w:color="auto" w:fill="FFFFFF"/>
        <w:spacing w:after="0" w:line="240" w:lineRule="auto"/>
        <w:ind w:left="384" w:firstLine="42"/>
        <w:jc w:val="both"/>
        <w:rPr>
          <w:rFonts w:ascii="Times New Roman" w:hAnsi="Times New Roman" w:cs="Times New Roman"/>
          <w:sz w:val="28"/>
          <w:szCs w:val="28"/>
        </w:rPr>
      </w:pPr>
      <w:hyperlink r:id="rId105" w:tooltip="Payroll tax" w:history="1">
        <w:r w:rsidR="004379E3" w:rsidRPr="0068182D">
          <w:rPr>
            <w:rFonts w:ascii="Times New Roman" w:hAnsi="Times New Roman" w:cs="Times New Roman"/>
            <w:sz w:val="28"/>
            <w:szCs w:val="28"/>
          </w:rPr>
          <w:t>Payroll tax</w:t>
        </w:r>
      </w:hyperlink>
    </w:p>
    <w:p w:rsidR="004379E3" w:rsidRPr="0068182D" w:rsidRDefault="00CD577A" w:rsidP="000537F4">
      <w:pPr>
        <w:numPr>
          <w:ilvl w:val="0"/>
          <w:numId w:val="15"/>
        </w:numPr>
        <w:shd w:val="clear" w:color="auto" w:fill="FFFFFF"/>
        <w:spacing w:after="0" w:line="240" w:lineRule="auto"/>
        <w:ind w:left="384" w:firstLine="42"/>
        <w:jc w:val="both"/>
        <w:rPr>
          <w:rFonts w:ascii="Times New Roman" w:hAnsi="Times New Roman" w:cs="Times New Roman"/>
          <w:sz w:val="28"/>
          <w:szCs w:val="28"/>
        </w:rPr>
      </w:pPr>
      <w:hyperlink r:id="rId106" w:tooltip="Property tax" w:history="1">
        <w:r w:rsidR="004379E3" w:rsidRPr="0068182D">
          <w:rPr>
            <w:rFonts w:ascii="Times New Roman" w:hAnsi="Times New Roman" w:cs="Times New Roman"/>
            <w:sz w:val="28"/>
            <w:szCs w:val="28"/>
          </w:rPr>
          <w:t>Property tax</w:t>
        </w:r>
      </w:hyperlink>
    </w:p>
    <w:p w:rsidR="004379E3" w:rsidRPr="0068182D" w:rsidRDefault="00CD577A" w:rsidP="000537F4">
      <w:pPr>
        <w:numPr>
          <w:ilvl w:val="0"/>
          <w:numId w:val="15"/>
        </w:numPr>
        <w:shd w:val="clear" w:color="auto" w:fill="FFFFFF"/>
        <w:spacing w:after="0" w:line="240" w:lineRule="auto"/>
        <w:ind w:left="384" w:firstLine="42"/>
        <w:jc w:val="both"/>
        <w:rPr>
          <w:rFonts w:ascii="Times New Roman" w:hAnsi="Times New Roman" w:cs="Times New Roman"/>
          <w:sz w:val="28"/>
          <w:szCs w:val="28"/>
        </w:rPr>
      </w:pPr>
      <w:hyperlink r:id="rId107" w:tooltip="Consumption tax" w:history="1">
        <w:r w:rsidR="004379E3" w:rsidRPr="0068182D">
          <w:rPr>
            <w:rFonts w:ascii="Times New Roman" w:hAnsi="Times New Roman" w:cs="Times New Roman"/>
            <w:sz w:val="28"/>
            <w:szCs w:val="28"/>
          </w:rPr>
          <w:t>Consumption tax</w:t>
        </w:r>
      </w:hyperlink>
    </w:p>
    <w:p w:rsidR="004379E3" w:rsidRPr="0068182D" w:rsidRDefault="00CD577A" w:rsidP="000537F4">
      <w:pPr>
        <w:numPr>
          <w:ilvl w:val="0"/>
          <w:numId w:val="15"/>
        </w:numPr>
        <w:shd w:val="clear" w:color="auto" w:fill="FFFFFF"/>
        <w:spacing w:after="0" w:line="240" w:lineRule="auto"/>
        <w:ind w:left="384" w:firstLine="42"/>
        <w:jc w:val="both"/>
        <w:rPr>
          <w:rFonts w:ascii="Times New Roman" w:hAnsi="Times New Roman" w:cs="Times New Roman"/>
          <w:sz w:val="28"/>
          <w:szCs w:val="28"/>
          <w:lang w:val="en-US"/>
        </w:rPr>
      </w:pPr>
      <w:hyperlink r:id="rId108" w:tooltip="Tariff" w:history="1">
        <w:r w:rsidR="004379E3" w:rsidRPr="0068182D">
          <w:rPr>
            <w:rFonts w:ascii="Times New Roman" w:hAnsi="Times New Roman" w:cs="Times New Roman"/>
            <w:sz w:val="28"/>
            <w:szCs w:val="28"/>
            <w:lang w:val="en-US"/>
          </w:rPr>
          <w:t>Tariff</w:t>
        </w:r>
      </w:hyperlink>
      <w:r w:rsidR="004379E3" w:rsidRPr="0068182D">
        <w:rPr>
          <w:rFonts w:ascii="Times New Roman" w:hAnsi="Times New Roman" w:cs="Times New Roman"/>
          <w:sz w:val="28"/>
          <w:szCs w:val="28"/>
          <w:lang w:val="en-US"/>
        </w:rPr>
        <w:t> (taxes on international trade)</w:t>
      </w:r>
    </w:p>
    <w:p w:rsidR="004379E3" w:rsidRPr="0068182D" w:rsidRDefault="004379E3" w:rsidP="000537F4">
      <w:pPr>
        <w:numPr>
          <w:ilvl w:val="0"/>
          <w:numId w:val="15"/>
        </w:numPr>
        <w:shd w:val="clear" w:color="auto" w:fill="FFFFFF"/>
        <w:spacing w:after="0" w:line="240" w:lineRule="auto"/>
        <w:ind w:left="384" w:firstLine="42"/>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Capitation, a fixed tax charged per person</w:t>
      </w:r>
    </w:p>
    <w:p w:rsidR="004379E3" w:rsidRPr="0068182D" w:rsidRDefault="004379E3" w:rsidP="000537F4">
      <w:pPr>
        <w:numPr>
          <w:ilvl w:val="0"/>
          <w:numId w:val="15"/>
        </w:numPr>
        <w:shd w:val="clear" w:color="auto" w:fill="FFFFFF"/>
        <w:spacing w:after="0" w:line="240" w:lineRule="auto"/>
        <w:ind w:left="384" w:firstLine="42"/>
        <w:jc w:val="both"/>
        <w:rPr>
          <w:rFonts w:ascii="Times New Roman" w:hAnsi="Times New Roman" w:cs="Times New Roman"/>
          <w:sz w:val="28"/>
          <w:szCs w:val="28"/>
        </w:rPr>
      </w:pPr>
      <w:r w:rsidRPr="0068182D">
        <w:rPr>
          <w:rFonts w:ascii="Times New Roman" w:hAnsi="Times New Roman" w:cs="Times New Roman"/>
          <w:sz w:val="28"/>
          <w:szCs w:val="28"/>
        </w:rPr>
        <w:t>Fees and tolls</w:t>
      </w:r>
    </w:p>
    <w:p w:rsidR="004379E3" w:rsidRPr="0068182D" w:rsidRDefault="004379E3" w:rsidP="000537F4">
      <w:pPr>
        <w:numPr>
          <w:ilvl w:val="0"/>
          <w:numId w:val="15"/>
        </w:numPr>
        <w:shd w:val="clear" w:color="auto" w:fill="FFFFFF"/>
        <w:spacing w:after="0" w:line="240" w:lineRule="auto"/>
        <w:ind w:left="384" w:firstLine="42"/>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Effective taxes, government policies that aren't explicitly taxes, but result in income to the government through losses to the public</w:t>
      </w:r>
    </w:p>
    <w:p w:rsidR="004379E3" w:rsidRPr="0068182D" w:rsidRDefault="004379E3" w:rsidP="00C40532">
      <w:pPr>
        <w:shd w:val="clear" w:color="auto" w:fill="FFFFFF"/>
        <w:spacing w:after="0" w:line="240" w:lineRule="auto"/>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right="22" w:firstLine="384"/>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6.</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Problems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functioning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French</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public finances and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problems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at the present stage</w:t>
      </w:r>
    </w:p>
    <w:p w:rsidR="004379E3" w:rsidRPr="0068182D" w:rsidRDefault="004379E3" w:rsidP="00C40532">
      <w:pPr>
        <w:shd w:val="clear" w:color="auto" w:fill="FFFFFF"/>
        <w:spacing w:after="0" w:line="240" w:lineRule="auto"/>
        <w:ind w:firstLine="384"/>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fiscal year runs from 1 January to 31 December. Deficits have been commonplace, but in recent years, efforts have been made to cut back on the growth of taxes and government spending and, since 1986, to remove major state enterprises from the expense of government ownership. Deficit reduction became a top priority of the government when France committed to the European Monetary Union (EMU). Maastricht Treaty targets for the EMU required France to reduce the government's budget deficit to 3% of GDP by 1997. The government still maintains a fairly tight hold on myriad enterprises, ranging from energy to financial services to industry; government spending accounted for 52% of GDP in 2001.</w:t>
      </w:r>
    </w:p>
    <w:p w:rsidR="004379E3" w:rsidRPr="0068182D" w:rsidRDefault="004379E3" w:rsidP="00C40532">
      <w:pPr>
        <w:shd w:val="clear" w:color="auto" w:fill="FFFFFF"/>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lang w:val="en-US"/>
        </w:rPr>
        <w:t xml:space="preserve">The US Central Intelligence Agency (CIA) estimated that in 2005 France's central government took in revenues of approximately $1.06 trillion and had expenditures of $1.1 trillion. </w:t>
      </w:r>
      <w:r w:rsidRPr="0068182D">
        <w:rPr>
          <w:rFonts w:ascii="Times New Roman" w:hAnsi="Times New Roman" w:cs="Times New Roman"/>
          <w:sz w:val="28"/>
          <w:szCs w:val="28"/>
        </w:rPr>
        <w:t>Revenues minus expenditures totaled approximately -$84 billion. Public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4312"/>
        <w:gridCol w:w="890"/>
        <w:gridCol w:w="1030"/>
      </w:tblGrid>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Revenue and Grants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674.87</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100.0%</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Tax revenue</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351.19</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52.0%</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Social contributions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277.86</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41.2%</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Grants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4.36</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0.6%</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Other revenue</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41.46</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6.1%</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Expenditures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727.39</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b/>
                <w:bCs/>
                <w:sz w:val="28"/>
                <w:szCs w:val="28"/>
              </w:rPr>
              <w:t>…</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General public services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110.77</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15.2%</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Defense</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37.51</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5.2%</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Public order and safety</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12.29</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1.7%</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Economic affairs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67.27</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9.2%</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Environmental protection</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1.47</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0.2%</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Housing and community amenities</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6.04</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0.8%</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Health</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Recreational, culture, and religion</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5.41</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0.7%</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Education</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70.97</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9.8%</w:t>
            </w:r>
          </w:p>
        </w:tc>
      </w:tr>
      <w:tr w:rsidR="004379E3" w:rsidRPr="0068182D" w:rsidTr="00BE3110">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    Social protection</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w:t>
            </w:r>
          </w:p>
        </w:tc>
        <w:tc>
          <w:tcPr>
            <w:tcW w:w="0" w:type="auto"/>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w:t>
            </w:r>
          </w:p>
        </w:tc>
      </w:tr>
      <w:tr w:rsidR="004379E3" w:rsidRPr="008E2EAF" w:rsidTr="00BE3110">
        <w:tc>
          <w:tcPr>
            <w:tcW w:w="0" w:type="auto"/>
            <w:gridSpan w:val="3"/>
            <w:shd w:val="clear" w:color="auto" w:fill="FFFFFF"/>
            <w:tcMar>
              <w:top w:w="60" w:type="dxa"/>
              <w:left w:w="60" w:type="dxa"/>
              <w:bottom w:w="60" w:type="dxa"/>
              <w:right w:w="60" w:type="dxa"/>
            </w:tcMar>
            <w:vAlign w:val="center"/>
            <w:hideMark/>
          </w:tcPr>
          <w:p w:rsidR="004379E3" w:rsidRPr="0068182D" w:rsidRDefault="004379E3" w:rsidP="00C40532">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data not available or not significant.</w:t>
            </w:r>
          </w:p>
        </w:tc>
      </w:tr>
    </w:tbl>
    <w:p w:rsidR="004379E3" w:rsidRPr="0068182D" w:rsidRDefault="004379E3" w:rsidP="00C40532">
      <w:pPr>
        <w:shd w:val="clear" w:color="auto" w:fill="FFFFFF"/>
        <w:spacing w:after="0" w:line="240" w:lineRule="auto"/>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Debt in 2005 amounted to 66.5% of GDP. Total external debt was $2.826 trillion.</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International Monetary Fund (IMF) reported that in 2002, the most recent year for which it had data, central government revenues were €674.87 billion and expenditures were €727.39 billion. The value of revenues was us$635 million and expenditures us$292 million, based on a market exchange rate for 2002 of us$1= €1.0626 as reported by the IMF. Government outlays by function were as follows: general public services, 15.2%; defense, 5.2%; public order and safety, 1.7%; economic affairs, 9.2%; environmental protection, 0.2%; housing and community amenities, 0.8%; recreation, culture, and religion, 0.7%; and education, 9.8%.</w:t>
      </w:r>
    </w:p>
    <w:p w:rsidR="004379E3" w:rsidRPr="0068182D" w:rsidRDefault="004379E3" w:rsidP="00C40532">
      <w:pPr>
        <w:tabs>
          <w:tab w:val="left" w:pos="895"/>
        </w:tabs>
        <w:spacing w:after="0" w:line="240" w:lineRule="auto"/>
        <w:jc w:val="both"/>
        <w:rPr>
          <w:rFonts w:ascii="Times New Roman" w:hAnsi="Times New Roman" w:cs="Times New Roman"/>
          <w:sz w:val="28"/>
          <w:szCs w:val="28"/>
          <w:lang w:val="en-US"/>
        </w:rPr>
      </w:pPr>
    </w:p>
    <w:p w:rsidR="004379E3" w:rsidRPr="0068182D" w:rsidRDefault="004379E3" w:rsidP="00C40532">
      <w:pPr>
        <w:tabs>
          <w:tab w:val="left" w:pos="1573"/>
        </w:tabs>
        <w:spacing w:after="0" w:line="240" w:lineRule="auto"/>
        <w:rPr>
          <w:rFonts w:ascii="Times New Roman" w:hAnsi="Times New Roman" w:cs="Times New Roman"/>
          <w:b/>
          <w:sz w:val="28"/>
          <w:szCs w:val="28"/>
          <w:lang w:val="en-US"/>
        </w:rPr>
      </w:pPr>
      <w:r w:rsidRPr="0068182D">
        <w:rPr>
          <w:rFonts w:ascii="Times New Roman" w:hAnsi="Times New Roman" w:cs="Times New Roman"/>
          <w:b/>
          <w:sz w:val="28"/>
          <w:szCs w:val="28"/>
          <w:lang w:val="en-US"/>
        </w:rPr>
        <w:tab/>
        <w:t>Control questions:</w:t>
      </w:r>
    </w:p>
    <w:p w:rsidR="004379E3" w:rsidRPr="0068182D" w:rsidRDefault="004379E3" w:rsidP="000537F4">
      <w:pPr>
        <w:pStyle w:val="a4"/>
        <w:numPr>
          <w:ilvl w:val="0"/>
          <w:numId w:val="16"/>
        </w:numPr>
        <w:shd w:val="clear" w:color="auto" w:fill="FFFFFF"/>
        <w:tabs>
          <w:tab w:val="left" w:pos="180"/>
        </w:tabs>
        <w:spacing w:after="0" w:line="240" w:lineRule="auto"/>
        <w:ind w:left="0" w:firstLine="0"/>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E</w:t>
      </w:r>
      <w:r w:rsidRPr="0068182D">
        <w:rPr>
          <w:rStyle w:val="hps"/>
          <w:rFonts w:ascii="Times New Roman" w:hAnsi="Times New Roman" w:cs="Times New Roman"/>
          <w:sz w:val="28"/>
          <w:szCs w:val="28"/>
          <w:lang w:val="en-US"/>
        </w:rPr>
        <w:t>conomic development of France</w:t>
      </w:r>
    </w:p>
    <w:p w:rsidR="004379E3" w:rsidRPr="0068182D" w:rsidRDefault="004379E3" w:rsidP="00C40532">
      <w:pPr>
        <w:shd w:val="clear" w:color="auto" w:fill="FFFFFF"/>
        <w:tabs>
          <w:tab w:val="left" w:pos="180"/>
        </w:tabs>
        <w:spacing w:after="0" w:line="240" w:lineRule="auto"/>
        <w:jc w:val="both"/>
        <w:rPr>
          <w:rFonts w:ascii="Times New Roman" w:hAnsi="Times New Roman" w:cs="Times New Roman"/>
          <w:spacing w:val="-9"/>
          <w:sz w:val="28"/>
          <w:szCs w:val="28"/>
          <w:lang w:val="en-US"/>
        </w:rPr>
      </w:pPr>
      <w:r w:rsidRPr="0068182D">
        <w:rPr>
          <w:rStyle w:val="hps"/>
          <w:rFonts w:ascii="Times New Roman" w:hAnsi="Times New Roman" w:cs="Times New Roman"/>
          <w:sz w:val="28"/>
          <w:szCs w:val="28"/>
          <w:lang w:val="en-US"/>
        </w:rPr>
        <w:t>2.</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Income and expenses of the state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budget</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 France</w:t>
      </w:r>
      <w:r w:rsidRPr="0068182D">
        <w:rPr>
          <w:rFonts w:ascii="Times New Roman" w:hAnsi="Times New Roman" w:cs="Times New Roman"/>
          <w:sz w:val="28"/>
          <w:szCs w:val="28"/>
          <w:lang w:val="en-US"/>
        </w:rPr>
        <w:t xml:space="preserve">. </w:t>
      </w:r>
    </w:p>
    <w:p w:rsidR="004379E3" w:rsidRPr="0068182D" w:rsidRDefault="004379E3" w:rsidP="00C40532">
      <w:pPr>
        <w:shd w:val="clear" w:color="auto" w:fill="FFFFFF"/>
        <w:spacing w:after="0" w:line="240" w:lineRule="auto"/>
        <w:ind w:right="22"/>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3.</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Development of social infrastructure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 France</w:t>
      </w:r>
    </w:p>
    <w:p w:rsidR="004379E3" w:rsidRPr="0068182D" w:rsidRDefault="004379E3" w:rsidP="00C40532">
      <w:pPr>
        <w:shd w:val="clear" w:color="auto" w:fill="FFFFFF"/>
        <w:spacing w:after="0" w:line="240" w:lineRule="auto"/>
        <w:ind w:right="22"/>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4.</w:t>
      </w:r>
      <w:r w:rsidRPr="0068182D">
        <w:rPr>
          <w:rFonts w:ascii="Times New Roman" w:hAnsi="Times New Roman" w:cs="Times New Roman"/>
          <w:sz w:val="28"/>
          <w:szCs w:val="28"/>
          <w:lang w:val="en-US"/>
        </w:rPr>
        <w:t xml:space="preserve"> T</w:t>
      </w:r>
      <w:r w:rsidRPr="0068182D">
        <w:rPr>
          <w:rStyle w:val="hps"/>
          <w:rFonts w:ascii="Times New Roman" w:hAnsi="Times New Roman" w:cs="Times New Roman"/>
          <w:sz w:val="28"/>
          <w:szCs w:val="28"/>
          <w:lang w:val="en-US"/>
        </w:rPr>
        <w:t>he main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types of taxes in France</w:t>
      </w:r>
      <w:r w:rsidRPr="0068182D">
        <w:rPr>
          <w:rFonts w:ascii="Times New Roman" w:hAnsi="Times New Roman" w:cs="Times New Roman"/>
          <w:sz w:val="28"/>
          <w:szCs w:val="28"/>
          <w:lang w:val="en-US"/>
        </w:rPr>
        <w:t>.</w:t>
      </w:r>
    </w:p>
    <w:p w:rsidR="004379E3" w:rsidRPr="0068182D" w:rsidRDefault="004379E3" w:rsidP="00C40532">
      <w:pPr>
        <w:shd w:val="clear" w:color="auto" w:fill="FFFFFF"/>
        <w:spacing w:after="0" w:line="240" w:lineRule="auto"/>
        <w:ind w:right="22"/>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5.</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Problems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functioning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French</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financial 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at the present stage</w:t>
      </w:r>
    </w:p>
    <w:p w:rsidR="004379E3" w:rsidRPr="0068182D" w:rsidRDefault="004379E3" w:rsidP="00C40532">
      <w:pPr>
        <w:tabs>
          <w:tab w:val="left" w:pos="1573"/>
        </w:tabs>
        <w:spacing w:after="0" w:line="240" w:lineRule="auto"/>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0F0E3B" w:rsidRPr="0068182D" w:rsidRDefault="000F0E3B" w:rsidP="000F0E3B">
      <w:pPr>
        <w:tabs>
          <w:tab w:val="left" w:pos="180"/>
        </w:tabs>
        <w:spacing w:after="0" w:line="240" w:lineRule="auto"/>
        <w:jc w:val="center"/>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Theme 7.</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financial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system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United Kingdom</w:t>
      </w:r>
    </w:p>
    <w:p w:rsidR="000F0E3B" w:rsidRPr="0068182D" w:rsidRDefault="000F0E3B" w:rsidP="000F0E3B">
      <w:pPr>
        <w:tabs>
          <w:tab w:val="left" w:pos="180"/>
        </w:tabs>
        <w:spacing w:after="0" w:line="240" w:lineRule="auto"/>
        <w:jc w:val="both"/>
        <w:rPr>
          <w:rStyle w:val="hps"/>
          <w:rFonts w:ascii="Times New Roman" w:hAnsi="Times New Roman" w:cs="Times New Roman"/>
          <w:b/>
          <w:sz w:val="28"/>
          <w:szCs w:val="28"/>
          <w:lang w:val="en-US"/>
        </w:rPr>
      </w:pPr>
      <w:r w:rsidRPr="0068182D">
        <w:rPr>
          <w:rFonts w:ascii="Times New Roman" w:hAnsi="Times New Roman" w:cs="Times New Roman"/>
          <w:b/>
          <w:sz w:val="28"/>
          <w:szCs w:val="28"/>
          <w:lang w:val="en-US"/>
        </w:rPr>
        <w:br/>
      </w:r>
      <w:r w:rsidRPr="0068182D">
        <w:rPr>
          <w:rStyle w:val="hps"/>
          <w:rFonts w:ascii="Times New Roman" w:hAnsi="Times New Roman" w:cs="Times New Roman"/>
          <w:b/>
          <w:sz w:val="28"/>
          <w:szCs w:val="28"/>
          <w:lang w:val="en-US"/>
        </w:rPr>
        <w:t>1.</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British model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neoconservatism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essence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significance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economic reforms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undertaken by the Government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M.Teacher</w:t>
      </w:r>
    </w:p>
    <w:p w:rsidR="000F0E3B" w:rsidRPr="0068182D" w:rsidRDefault="000F0E3B" w:rsidP="000F0E3B">
      <w:pPr>
        <w:tabs>
          <w:tab w:val="left" w:pos="180"/>
        </w:tabs>
        <w:spacing w:after="0" w:line="240" w:lineRule="auto"/>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2. The main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features and 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UK</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financial system</w:t>
      </w:r>
    </w:p>
    <w:p w:rsidR="000F0E3B" w:rsidRPr="0068182D" w:rsidRDefault="000F0E3B" w:rsidP="000F0E3B">
      <w:pPr>
        <w:spacing w:after="0" w:line="240" w:lineRule="auto"/>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3.</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State 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its structure</w:t>
      </w:r>
      <w:r w:rsidRPr="0068182D">
        <w:rPr>
          <w:rFonts w:ascii="Times New Roman" w:hAnsi="Times New Roman" w:cs="Times New Roman"/>
          <w:b/>
          <w:sz w:val="28"/>
          <w:szCs w:val="28"/>
          <w:lang w:val="en-US"/>
        </w:rPr>
        <w:t>.</w:t>
      </w:r>
    </w:p>
    <w:p w:rsidR="000F0E3B" w:rsidRPr="0068182D" w:rsidRDefault="000F0E3B" w:rsidP="000F0E3B">
      <w:pPr>
        <w:spacing w:after="0" w:line="240" w:lineRule="auto"/>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4.</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Specificity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budget process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the UK</w:t>
      </w:r>
      <w:r w:rsidRPr="0068182D">
        <w:rPr>
          <w:rFonts w:ascii="Times New Roman" w:hAnsi="Times New Roman" w:cs="Times New Roman"/>
          <w:b/>
          <w:sz w:val="28"/>
          <w:szCs w:val="28"/>
          <w:lang w:val="en-US"/>
        </w:rPr>
        <w:t>.</w:t>
      </w:r>
    </w:p>
    <w:p w:rsidR="000F0E3B" w:rsidRPr="0068182D" w:rsidRDefault="000F0E3B" w:rsidP="000F0E3B">
      <w:pPr>
        <w:spacing w:after="0" w:line="240" w:lineRule="auto"/>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Local Finance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role of local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budgets,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structure of their</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income and expenses</w:t>
      </w:r>
      <w:r w:rsidRPr="0068182D">
        <w:rPr>
          <w:rFonts w:ascii="Times New Roman" w:hAnsi="Times New Roman" w:cs="Times New Roman"/>
          <w:b/>
          <w:sz w:val="28"/>
          <w:szCs w:val="28"/>
          <w:lang w:val="en-US"/>
        </w:rPr>
        <w:br/>
      </w:r>
      <w:r w:rsidRPr="0068182D">
        <w:rPr>
          <w:rStyle w:val="hps"/>
          <w:rFonts w:ascii="Times New Roman" w:hAnsi="Times New Roman" w:cs="Times New Roman"/>
          <w:b/>
          <w:sz w:val="28"/>
          <w:szCs w:val="28"/>
          <w:lang w:val="en-US"/>
        </w:rPr>
        <w:t>6.</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Features of taxation</w:t>
      </w:r>
      <w:r w:rsidRPr="0068182D">
        <w:rPr>
          <w:rFonts w:ascii="Times New Roman" w:hAnsi="Times New Roman" w:cs="Times New Roman"/>
          <w:b/>
          <w:sz w:val="28"/>
          <w:szCs w:val="28"/>
          <w:lang w:val="en-US"/>
        </w:rPr>
        <w:t xml:space="preserve"> in</w:t>
      </w:r>
      <w:r w:rsidRPr="0068182D">
        <w:rPr>
          <w:rStyle w:val="hps"/>
          <w:rFonts w:ascii="Times New Roman" w:hAnsi="Times New Roman" w:cs="Times New Roman"/>
          <w:b/>
          <w:sz w:val="28"/>
          <w:szCs w:val="28"/>
          <w:lang w:val="en-US"/>
        </w:rPr>
        <w:t xml:space="preserve"> UK</w:t>
      </w:r>
      <w:r w:rsidRPr="0068182D">
        <w:rPr>
          <w:rFonts w:ascii="Times New Roman" w:hAnsi="Times New Roman" w:cs="Times New Roman"/>
          <w:b/>
          <w:sz w:val="28"/>
          <w:szCs w:val="28"/>
          <w:lang w:val="en-US"/>
        </w:rPr>
        <w:t>.</w:t>
      </w:r>
    </w:p>
    <w:p w:rsidR="000F0E3B" w:rsidRPr="0068182D" w:rsidRDefault="000F0E3B" w:rsidP="000F0E3B">
      <w:pPr>
        <w:spacing w:after="0" w:line="240" w:lineRule="auto"/>
        <w:jc w:val="both"/>
        <w:rPr>
          <w:rFonts w:ascii="Times New Roman" w:hAnsi="Times New Roman" w:cs="Times New Roman"/>
          <w:b/>
          <w:sz w:val="28"/>
          <w:szCs w:val="28"/>
          <w:lang w:val="en-US"/>
        </w:rPr>
      </w:pPr>
    </w:p>
    <w:p w:rsidR="000F0E3B" w:rsidRPr="0068182D" w:rsidRDefault="000F0E3B" w:rsidP="000F0E3B">
      <w:pPr>
        <w:tabs>
          <w:tab w:val="left" w:pos="180"/>
        </w:tabs>
        <w:spacing w:after="0" w:line="240" w:lineRule="auto"/>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1.</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British model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neoconservatism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essence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and significance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economic reforms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undertaken by the Government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M.Tather</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 new period of </w:t>
      </w:r>
      <w:hyperlink r:id="rId109" w:tooltip="Neoliberalism" w:history="1">
        <w:r w:rsidRPr="0068182D">
          <w:rPr>
            <w:rFonts w:ascii="Times New Roman" w:hAnsi="Times New Roman" w:cs="Times New Roman"/>
            <w:sz w:val="28"/>
            <w:szCs w:val="28"/>
            <w:lang w:val="en-US"/>
          </w:rPr>
          <w:t>neo-liberal</w:t>
        </w:r>
      </w:hyperlink>
      <w:r w:rsidRPr="0068182D">
        <w:rPr>
          <w:rFonts w:ascii="Times New Roman" w:hAnsi="Times New Roman" w:cs="Times New Roman"/>
          <w:sz w:val="28"/>
          <w:szCs w:val="28"/>
          <w:lang w:val="en-US"/>
        </w:rPr>
        <w:t> economics began in 1979 with the election of </w:t>
      </w:r>
      <w:hyperlink r:id="rId110" w:tooltip="Margaret Thatcher" w:history="1">
        <w:r w:rsidRPr="0068182D">
          <w:rPr>
            <w:rFonts w:ascii="Times New Roman" w:hAnsi="Times New Roman" w:cs="Times New Roman"/>
            <w:sz w:val="28"/>
            <w:szCs w:val="28"/>
            <w:lang w:val="en-US"/>
          </w:rPr>
          <w:t>Margaret Thatcher</w:t>
        </w:r>
      </w:hyperlink>
      <w:r w:rsidRPr="0068182D">
        <w:rPr>
          <w:rFonts w:ascii="Times New Roman" w:hAnsi="Times New Roman" w:cs="Times New Roman"/>
          <w:sz w:val="28"/>
          <w:szCs w:val="28"/>
          <w:lang w:val="en-US"/>
        </w:rPr>
        <w:t> who won the </w:t>
      </w:r>
      <w:hyperlink r:id="rId111" w:tooltip="United Kingdom general election, 1979" w:history="1">
        <w:r w:rsidRPr="0068182D">
          <w:rPr>
            <w:rFonts w:ascii="Times New Roman" w:hAnsi="Times New Roman" w:cs="Times New Roman"/>
            <w:sz w:val="28"/>
            <w:szCs w:val="28"/>
            <w:lang w:val="en-US"/>
          </w:rPr>
          <w:t>general election</w:t>
        </w:r>
      </w:hyperlink>
      <w:r w:rsidRPr="0068182D">
        <w:rPr>
          <w:rFonts w:ascii="Times New Roman" w:hAnsi="Times New Roman" w:cs="Times New Roman"/>
          <w:sz w:val="28"/>
          <w:szCs w:val="28"/>
          <w:lang w:val="en-US"/>
        </w:rPr>
        <w:t> on 3 May that year to return the Conservative Party to government after five years of Labour government. During the 1980s, most state-owned industries and utilities were </w:t>
      </w:r>
      <w:hyperlink r:id="rId112" w:tooltip="Privatised" w:history="1">
        <w:r w:rsidRPr="0068182D">
          <w:rPr>
            <w:rFonts w:ascii="Times New Roman" w:hAnsi="Times New Roman" w:cs="Times New Roman"/>
            <w:sz w:val="28"/>
            <w:szCs w:val="28"/>
            <w:lang w:val="en-US"/>
          </w:rPr>
          <w:t>privatised</w:t>
        </w:r>
      </w:hyperlink>
      <w:r w:rsidRPr="0068182D">
        <w:rPr>
          <w:rFonts w:ascii="Times New Roman" w:hAnsi="Times New Roman" w:cs="Times New Roman"/>
          <w:sz w:val="28"/>
          <w:szCs w:val="28"/>
          <w:lang w:val="en-US"/>
        </w:rPr>
        <w:t xml:space="preserve">, taxes cut, union reforms passed and markets deregulated. GDP fell by 5.9% initially, but growth subsequently returned and rose to 5% at its peak in 1988, one of the highest rates of any country in Europe. </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Thatcher's modernisation of the economy was far from trouble-free; her battle with inflation, which in 1980 had risen to 21.9%, resulted in a substantial increase in unemployment from 5.3% in 1979 to over 10.4% by the start of 1982, peaking at nearly 11.9% in 1984 – a level not seen in Britain since the </w:t>
      </w:r>
      <w:hyperlink r:id="rId113" w:tooltip="Great Depression" w:history="1">
        <w:r w:rsidRPr="0068182D">
          <w:rPr>
            <w:rFonts w:ascii="Times New Roman" w:hAnsi="Times New Roman" w:cs="Times New Roman"/>
            <w:sz w:val="28"/>
            <w:szCs w:val="28"/>
            <w:lang w:val="en-US"/>
          </w:rPr>
          <w:t>Great Depression</w:t>
        </w:r>
      </w:hyperlink>
      <w:r w:rsidRPr="0068182D">
        <w:rPr>
          <w:rFonts w:ascii="Times New Roman" w:hAnsi="Times New Roman" w:cs="Times New Roman"/>
          <w:sz w:val="28"/>
          <w:szCs w:val="28"/>
          <w:lang w:val="en-US"/>
        </w:rPr>
        <w:t>. The rise in unemployment coincided with the global </w:t>
      </w:r>
      <w:hyperlink r:id="rId114" w:tooltip="Early 1980s recession" w:history="1">
        <w:r w:rsidRPr="0068182D">
          <w:rPr>
            <w:rFonts w:ascii="Times New Roman" w:hAnsi="Times New Roman" w:cs="Times New Roman"/>
            <w:sz w:val="28"/>
            <w:szCs w:val="28"/>
            <w:lang w:val="en-US"/>
          </w:rPr>
          <w:t>early 1980s recession</w:t>
        </w:r>
      </w:hyperlink>
      <w:r w:rsidRPr="0068182D">
        <w:rPr>
          <w:rFonts w:ascii="Times New Roman" w:hAnsi="Times New Roman" w:cs="Times New Roman"/>
          <w:sz w:val="28"/>
          <w:szCs w:val="28"/>
          <w:lang w:val="en-US"/>
        </w:rPr>
        <w:t>, after which UK GDP did not reach its pre-recession rate until 1983. In spite of this, Thatcher was </w:t>
      </w:r>
      <w:hyperlink r:id="rId115" w:tooltip="United Kingdom general election, 1983" w:history="1">
        <w:r w:rsidRPr="0068182D">
          <w:rPr>
            <w:rFonts w:ascii="Times New Roman" w:hAnsi="Times New Roman" w:cs="Times New Roman"/>
            <w:sz w:val="28"/>
            <w:szCs w:val="28"/>
            <w:lang w:val="en-US"/>
          </w:rPr>
          <w:t>re-elected</w:t>
        </w:r>
      </w:hyperlink>
      <w:r w:rsidRPr="0068182D">
        <w:rPr>
          <w:rFonts w:ascii="Times New Roman" w:hAnsi="Times New Roman" w:cs="Times New Roman"/>
          <w:sz w:val="28"/>
          <w:szCs w:val="28"/>
          <w:lang w:val="en-US"/>
        </w:rPr>
        <w:t> in June 1983 with a landslide majority. Inflation had fallen to 3.7%, while interest rates were relatively high at 9.56%.</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increase in unemployment was largely due to the government's economic policy which resulted in the closure of outdated factories and coal pits. Manufacturing in England and Wales declined from around 38% of jobs in 1961 to around 22% in 1981. This process continued for most of the 1980s, with newer industries and the service sector enjoying significant growth. Many jobs were also lost as manufacturing became more efficient and fewer people were required to work in the sector. Unemployment had fallen below 3 million by the time of Thatcher's third successive election victory in June 1987 and by the end of 1989 it was down to 1.6 million. </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Britain's economy slid into </w:t>
      </w:r>
      <w:hyperlink r:id="rId116" w:tooltip="Early 1990s recession" w:history="1">
        <w:r w:rsidRPr="0068182D">
          <w:rPr>
            <w:rFonts w:ascii="Times New Roman" w:hAnsi="Times New Roman" w:cs="Times New Roman"/>
            <w:sz w:val="28"/>
            <w:szCs w:val="28"/>
            <w:lang w:val="en-US"/>
          </w:rPr>
          <w:t>another global recession</w:t>
        </w:r>
      </w:hyperlink>
      <w:r w:rsidRPr="0068182D">
        <w:rPr>
          <w:rFonts w:ascii="Times New Roman" w:hAnsi="Times New Roman" w:cs="Times New Roman"/>
          <w:sz w:val="28"/>
          <w:szCs w:val="28"/>
          <w:lang w:val="en-US"/>
        </w:rPr>
        <w:t> in late 1990, and this caused the economy to shrink by a total of 6% from peak to trough, and unemployment to increase from around 6.9% in the spring of 1990 to nearly 10.7% by the end of 1993. However, inflation dropped from 10.9% in 1990 to 1.3% three years later. The subsequent economic recovery was extremely strong, and unlike after the early 1980s recession, the recovery saw a rapid and substantial fall in unemployment, which was down to 7.2% by 1997, although the popularity of the Conservative government had failed to improve with the economic upturn. The government won a fourth successive election in 1992 under </w:t>
      </w:r>
      <w:hyperlink r:id="rId117" w:tooltip="John Major" w:history="1">
        <w:r w:rsidRPr="0068182D">
          <w:rPr>
            <w:rFonts w:ascii="Times New Roman" w:hAnsi="Times New Roman" w:cs="Times New Roman"/>
            <w:sz w:val="28"/>
            <w:szCs w:val="28"/>
            <w:lang w:val="en-US"/>
          </w:rPr>
          <w:t>John Major</w:t>
        </w:r>
      </w:hyperlink>
      <w:r w:rsidRPr="0068182D">
        <w:rPr>
          <w:rFonts w:ascii="Times New Roman" w:hAnsi="Times New Roman" w:cs="Times New Roman"/>
          <w:sz w:val="28"/>
          <w:szCs w:val="28"/>
          <w:lang w:val="en-US"/>
        </w:rPr>
        <w:t>, who had succeeded Thatcher in November 1990, but soon afterwards came </w:t>
      </w:r>
      <w:hyperlink r:id="rId118" w:tooltip="Black Wednesday" w:history="1">
        <w:r w:rsidRPr="0068182D">
          <w:rPr>
            <w:rFonts w:ascii="Times New Roman" w:hAnsi="Times New Roman" w:cs="Times New Roman"/>
            <w:sz w:val="28"/>
            <w:szCs w:val="28"/>
            <w:lang w:val="en-US"/>
          </w:rPr>
          <w:t>Black Wednesday</w:t>
        </w:r>
      </w:hyperlink>
      <w:r w:rsidRPr="0068182D">
        <w:rPr>
          <w:rFonts w:ascii="Times New Roman" w:hAnsi="Times New Roman" w:cs="Times New Roman"/>
          <w:sz w:val="28"/>
          <w:szCs w:val="28"/>
          <w:lang w:val="en-US"/>
        </w:rPr>
        <w:t>, which damaged the Conservative government's reputation for economic competence, and from that stage onwards, the </w:t>
      </w:r>
      <w:hyperlink r:id="rId119" w:tooltip="Labour Party (UK)" w:history="1">
        <w:r w:rsidRPr="0068182D">
          <w:rPr>
            <w:rFonts w:ascii="Times New Roman" w:hAnsi="Times New Roman" w:cs="Times New Roman"/>
            <w:sz w:val="28"/>
            <w:szCs w:val="28"/>
            <w:lang w:val="en-US"/>
          </w:rPr>
          <w:t>Labour Party</w:t>
        </w:r>
      </w:hyperlink>
      <w:r w:rsidRPr="0068182D">
        <w:rPr>
          <w:rFonts w:ascii="Times New Roman" w:hAnsi="Times New Roman" w:cs="Times New Roman"/>
          <w:sz w:val="28"/>
          <w:szCs w:val="28"/>
          <w:lang w:val="en-US"/>
        </w:rPr>
        <w:t> was ascendant in the opinion polls, particularly in the immediate aftermath of </w:t>
      </w:r>
      <w:hyperlink r:id="rId120" w:tooltip="Tony Blair" w:history="1">
        <w:r w:rsidRPr="0068182D">
          <w:rPr>
            <w:rFonts w:ascii="Times New Roman" w:hAnsi="Times New Roman" w:cs="Times New Roman"/>
            <w:sz w:val="28"/>
            <w:szCs w:val="28"/>
            <w:lang w:val="en-US"/>
          </w:rPr>
          <w:t>Tony Blair's</w:t>
        </w:r>
      </w:hyperlink>
      <w:r w:rsidRPr="0068182D">
        <w:rPr>
          <w:rFonts w:ascii="Times New Roman" w:hAnsi="Times New Roman" w:cs="Times New Roman"/>
          <w:sz w:val="28"/>
          <w:szCs w:val="28"/>
          <w:lang w:val="en-US"/>
        </w:rPr>
        <w:t> election as party leader in July 1994 following the sudden death of his predecessor </w:t>
      </w:r>
      <w:hyperlink r:id="rId121" w:tooltip="John Smith (Labour Party leader)" w:history="1">
        <w:r w:rsidRPr="0068182D">
          <w:rPr>
            <w:rFonts w:ascii="Times New Roman" w:hAnsi="Times New Roman" w:cs="Times New Roman"/>
            <w:sz w:val="28"/>
            <w:szCs w:val="28"/>
            <w:lang w:val="en-US"/>
          </w:rPr>
          <w:t>John Smith</w:t>
        </w:r>
      </w:hyperlink>
      <w:r w:rsidRPr="0068182D">
        <w:rPr>
          <w:rFonts w:ascii="Times New Roman" w:hAnsi="Times New Roman" w:cs="Times New Roman"/>
          <w:sz w:val="28"/>
          <w:szCs w:val="28"/>
          <w:lang w:val="en-US"/>
        </w:rPr>
        <w:t>.</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May 1997, Labour won the general election by a landslide after 18 years of Conservative government, and inherited a strong economy with low inflation, falling unemployment and a </w:t>
      </w:r>
      <w:hyperlink r:id="rId122" w:tooltip="Current account" w:history="1">
        <w:r w:rsidRPr="0068182D">
          <w:rPr>
            <w:rFonts w:ascii="Times New Roman" w:hAnsi="Times New Roman" w:cs="Times New Roman"/>
            <w:sz w:val="28"/>
            <w:szCs w:val="28"/>
            <w:lang w:val="en-US"/>
          </w:rPr>
          <w:t>current account</w:t>
        </w:r>
      </w:hyperlink>
      <w:r w:rsidRPr="0068182D">
        <w:rPr>
          <w:rFonts w:ascii="Times New Roman" w:hAnsi="Times New Roman" w:cs="Times New Roman"/>
          <w:sz w:val="28"/>
          <w:szCs w:val="28"/>
          <w:lang w:val="en-US"/>
        </w:rPr>
        <w:t> surplus. Since 1980, wages had consistently grown by around 2% per year in </w:t>
      </w:r>
      <w:hyperlink r:id="rId123" w:tooltip="Real terms" w:history="1">
        <w:r w:rsidRPr="0068182D">
          <w:rPr>
            <w:rFonts w:ascii="Times New Roman" w:hAnsi="Times New Roman" w:cs="Times New Roman"/>
            <w:sz w:val="28"/>
            <w:szCs w:val="28"/>
            <w:lang w:val="en-US"/>
          </w:rPr>
          <w:t>real terms</w:t>
        </w:r>
      </w:hyperlink>
      <w:r w:rsidRPr="0068182D">
        <w:rPr>
          <w:rFonts w:ascii="Times New Roman" w:hAnsi="Times New Roman" w:cs="Times New Roman"/>
          <w:sz w:val="28"/>
          <w:szCs w:val="28"/>
          <w:lang w:val="en-US"/>
        </w:rPr>
        <w:t>.</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caps/>
          <w:sz w:val="28"/>
          <w:szCs w:val="28"/>
          <w:lang w:val="en-US"/>
        </w:rPr>
        <w:t>R</w:t>
      </w:r>
      <w:r w:rsidRPr="0068182D">
        <w:rPr>
          <w:rFonts w:ascii="Times New Roman" w:hAnsi="Times New Roman" w:cs="Times New Roman"/>
          <w:sz w:val="28"/>
          <w:szCs w:val="28"/>
          <w:lang w:val="en-US"/>
        </w:rPr>
        <w:t>eversing Britain's long-term economic decline. That was the daunting task </w:t>
      </w:r>
      <w:hyperlink r:id="rId124" w:history="1">
        <w:r w:rsidRPr="0068182D">
          <w:rPr>
            <w:rFonts w:ascii="Times New Roman" w:hAnsi="Times New Roman" w:cs="Times New Roman"/>
            <w:sz w:val="28"/>
            <w:szCs w:val="28"/>
            <w:lang w:val="en-US"/>
          </w:rPr>
          <w:t>Margaret Thatcher</w:t>
        </w:r>
      </w:hyperlink>
      <w:r w:rsidRPr="0068182D">
        <w:rPr>
          <w:rFonts w:ascii="Times New Roman" w:hAnsi="Times New Roman" w:cs="Times New Roman"/>
          <w:sz w:val="28"/>
          <w:szCs w:val="28"/>
          <w:lang w:val="en-US"/>
        </w:rPr>
        <w:t> set herself when she arrived in Downing Street in May 1979 at the end of a traumatic decade that had seen a three-day week, inflation topping 25%, a bailout from the International Monetary Fund and the winter of discontent.</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She gave it her best shot. The last remnants of the postwar consensus were swept away in the ensuing decade – a period that saw the crushing of the trade unions, the Big Bang in the City, council house sales, the privatisation of large chunks of industry, the encouragement of inward investment, tax cuts, attempts to roll back the state, a deep manufacturing recession, a boom in North Sea oil production, and support for the creation of a single market in Europe.</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 far as her supporters are concerned, this radical transformation worked. Britain ceased to be the sick man of Europe and entered the 1990s with its reputation enhanced. The economy had become more productive, more competitive and more profitable. Deep-seated and long overdue reforms of the 1980s paved the way for the long 16-year boom between 1992 and 2008.</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To her detractors, Thatcher is the prime minister who wiped out more than 15% of Britain's industrial base with her dogmatic monetarism, squandered the once-in-a-lifetime windfall of North Sea oil on unemployment pay and tax cuts, and made the UK the unbalanced, unequal country it is today.</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truth lies somewhere between these extremes. Thatcher came to power when the economy was approaching a moment of truth after three decades of poor performance relative to other western countries. Had Jim Callaghan won the 1979 election, he too would have faced the challenge of how to modernise an economy beset by high inflation, weak management and poor industrial relations.</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Indeed, many of the policy innovations associated with Thatcher had already been pioneered by her predecessor. Full employment had been ditched in 1976, while Labour had introduced monetary targets and cash limits for Whitehall departments while Denis Healey was at the Treasury.</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Nor, contrary to myth, did Thatcherism emerge fully formed in May 1979. Privatisation did not feature in the Conservative election campaign, while the tougher approach to trade union reform had only really become evident since the winter of discontent, and even then was a gradual process.</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That said, by the mid-1980s it was clear that the Conservative government's economic policy was based on a handful of core principles. Firstly, control of inflation rather than the pursuit of full employment was the centrepiece of macro economic strategy. The government's job was to keep inflation low, not to boost growth through demand management.</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Secondly, the balance of power in industrial relations was shifted decisively in favour of employers. Three separate pieces of legislation between 1980 and 1984 attacked the closed shop, toughened up the laws on picketing and imposed secret strike ballots. Symbolically, the key moment was the defeat of the miners after the year-long pit strike in March 1985.</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Thirdly, industrial policy was all but abandoned. The state retained control of some nationalised industries – the railways, for example – but BT, British Airways, British Steel, British Gas and the British Airports Authority were among the big companies sold off. Thatcher did not believe in "picking winners"; instead she preferred to rely on market forces to ensure the survival of the fittest. To the extent that there was an industrial strategy, it was to sell Britain as a destination for Japanese car companies and to shift the focus of the economy away from manufacturing towards financial services.</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Fourthly, policy was aimed at those who, according to the prime minister, wanted to get on in life. There were big tax cuts for those on the highest incomes, driven by the belief that this would encourage entrepreneurship. But there were also cuts for basic-rate taxpayers: the 1988 budget, for example, cut the top rate of tax from 60% to 40% and the standard rate from 27% to 25%. Council house sales and advertising campaigns that encouraged the public to buy shares in privatised companies were meant to broaden the appeal of capitalism.</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Narrowly judged, the Thatcher economic revolution was a success. Britain's relative decline came to an end, although that was more due to slowdowns in countries such as France and Germany than an acceleration in UK productivity growth. The number of days lost through strikes tumbled. Nissan's arrival in the north-east showed that Britain was no longer the west's industrial pariah.</w:t>
      </w:r>
    </w:p>
    <w:p w:rsidR="000F0E3B" w:rsidRPr="0068182D" w:rsidRDefault="000F0E3B" w:rsidP="000F0E3B">
      <w:pPr>
        <w:shd w:val="clear" w:color="auto" w:fill="FFFFFF"/>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On the other hand, growth has been depressed because weak trade unions can no longer ensure wage increases keep pace with inflation. The government's welfare bill has been swollen by tax credits and housing benefit caused by the labour market reforms and council house sales of the 1980s. Britain's record on innovation and investment have been extremely poor, while the hollowing out of manufacturing left the economy over-dependent on the de-regulated City. Oil helped Thatcher paper over the cracks, but Britain's age-old problem – finding a way to pay its way in the world – remains. The last time the UK ran a trade surplus was the year of the Falklands war.</w:t>
      </w:r>
    </w:p>
    <w:p w:rsidR="000F0E3B" w:rsidRPr="0068182D" w:rsidRDefault="000F0E3B" w:rsidP="000F0E3B">
      <w:pPr>
        <w:spacing w:after="0" w:line="240" w:lineRule="auto"/>
        <w:ind w:firstLine="708"/>
        <w:jc w:val="both"/>
        <w:rPr>
          <w:rFonts w:ascii="Times New Roman" w:hAnsi="Times New Roman" w:cs="Times New Roman"/>
          <w:sz w:val="28"/>
          <w:szCs w:val="28"/>
          <w:lang w:val="en-US"/>
        </w:rPr>
      </w:pPr>
    </w:p>
    <w:p w:rsidR="000F0E3B" w:rsidRPr="0068182D" w:rsidRDefault="000F0E3B" w:rsidP="000F0E3B">
      <w:pPr>
        <w:tabs>
          <w:tab w:val="left" w:pos="180"/>
        </w:tabs>
        <w:spacing w:after="0" w:line="240" w:lineRule="auto"/>
        <w:ind w:firstLine="709"/>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2. The main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features and 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UK</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financial system</w:t>
      </w:r>
    </w:p>
    <w:p w:rsidR="000F0E3B" w:rsidRPr="0068182D" w:rsidRDefault="000F0E3B" w:rsidP="000F0E3B">
      <w:pPr>
        <w:tabs>
          <w:tab w:val="left" w:pos="180"/>
        </w:tabs>
        <w:spacing w:after="0" w:line="240" w:lineRule="auto"/>
        <w:ind w:firstLine="709"/>
        <w:jc w:val="both"/>
        <w:rPr>
          <w:rStyle w:val="hps"/>
          <w:rFonts w:ascii="Times New Roman" w:hAnsi="Times New Roman" w:cs="Times New Roman"/>
          <w:b/>
          <w:sz w:val="28"/>
          <w:szCs w:val="28"/>
          <w:lang w:val="en-US"/>
        </w:rPr>
      </w:pP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Any historical description of the British financial system must begin with the Bank of England, the country’s central bank, which was founded in 1694. It was not then a central bank in the modern sense. Rather, it was one of the earliest chartered banks, privately owned and organized to accept deposits and make loans to the private sector. It did, however, have a close connection with public finance. A large share of its assets was in government securities, and it held the nation’s specie. It became known as a solid institution, and its notes were widely accepted as a means of payment, first in London and then throughout the widening British empire.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Bank of England becoming, in 1833, Britain’s monopoly supplier of the currency (while still a private bank) is not surprising. The Bank Act of 1844 produced a separation of note issue from banking operations. The Act’s real purpose had been to impose rules for behaviour on the Bank, that is, to abolish discretionary monetary policy. However, experience soon proved that some discretion in central bank operations is necessary.</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During the eighteenth century and the first half of the nineteenth century, other private banks opened in London, institutions that were increasingly needed because of the growth of commerce and the effects of industrialization. Meanwhile, outside the country’s main city, the growing centralization of government finance in London, the need for payments and remittances for taxes, and expanding financial wealth from the industrial revolution resulted in the founding of country banks (private banks outside London). Another feature of nineteenth-century Great Britain, which was emulated in Canada, was the creation of building societies (savings banks), vehicles to permit individuals or families with modest incomes to enjoy benefits from pooling their financial resources and to profit from being able to obtain financial services they would not have had access to in the London banks. Also developed in Great Britain at this time was the concept of the clearinghouse, a place and system for settling interbank claims that would grow into the cheque-clearing systems we know today.</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These developments, as well as the Scottish experiments with free banking, meant that Great Britain matured financially faster than other industrializing countries. London became the centre of the domestic financial industry and eventually the leading international financial centre, thanks to its role in the gold market and in the development of the Eurodollar market.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FINANCIAL INTERMEDIARIES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Until 1979, the United Kingdom had no legal definition of a bank. The criteria, which were revised in 1987, now distinguish among types of deposit-taking institutions and thus influence the measurement of aggregates such as the money supply. The U.K. bank financial intermediaries include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1. retail banks, which provide services much like those of the Canadian chartered banks. Like chartered banks, retail banks offer both time deposits and sight (demand) deposits.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2. trusteed savings banks (TSB), originally set up in 1861 as the Post Office Savings Bank, were the forerunners of the deposit-taking side of the Canadian trust companies. They were created at a time when minimum deposit requirements barred many households from using city banks.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3. the National Savings Banks, a government-sponsored savings bank administered by a department of the Treasury and operated through the post office system. (It used to be called the Post Office Savings Bank.)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4. the Girobank, which used to be operated through the post offices but is today a major commercial bank. The Girobank is an association of savings banks originally organized to facilitate the sharing of payments in an alternative to the chequing system so prevalent in North America. With a giro system, an individual gives a written order to his or her bank to transfer funds to the account of the payee. No credit risk exists since the funds must be in the payor’s bank to begin with. The giro system has been emulated in Japan and in several European countries including Germany.</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5. wholesale banks, which are depository institutions that have relatively few branches in the United Kingdom and are therefore not highly visible to the public. They include merchant banks, various consortiums, and especially foreign banks, which are present in the United Kingdom, in large numbers. Many of these institutions do not compete for the country’s domestic business but, rather, carry out business related to international finance in London, which has a long-held competitive advantage in this field. Nevertheless, few other countries have banking systems as open to foreign banks. Foreign banks dominate the non-retail market in the United Kingdom.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6. discount houses or investment institutions, which deal in short-term securities (sold at a discount, of course). They resemble Canadian investment dealers. The remainder of the financial system is classified as nonbank financial intermediaries: building societies, finance houses (finance companies), insurance and pension funds, and investment and unit trusts. As all these institutions have functions similar to those they have in Canada, nothing more need be said about them.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While deregulation has allowed building societies to tap the wholesale money market to increase their lending activities, this segment of the market has experienced a great deal of consolidation. There are fewer than 100 such societies in the United Kingdom, and their share of the mortgage lending market has fallen under 20 percent. U.K. banks are required to hold a small fraction of their liabilities at the Bank of England in the form of non-interest-bearing deposits. They can (and do) also hold excess reserves. The reserve requirements used to be much stricter; the requirements were phased out in extensive reforms in 1981.</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1986 came another major reform, often called the Big Bang. Following legal proceedings in which it was contended that the stock exchange had engaged in what amounted to restrictive trade practices, the rules were changed to eliminate the division between deposit-taking institutions and securities underwriters. The number of firms that could deal in government securities was enlarged from a handful to almost 30. Building societies were allowed to offer a wide range of banking and financial services (banks had been permitted to offer mortgages since 1982). Thus, a considerable blurring of the differentiation between banks and near-banks was initiated.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Indeed, the Big Bang changed the whole competitive structure of the U.K. banking industry. U.K. banks were supervised by the Securities and Investment Board, a private sector organization with regulatory power delegated by the government. The very name reflects the elimination of barriers between banks, securities dealers, and the Bank of England. The diffusion of regulatory responsibilities has, however, proven problematic, and there have been several financial scandals. One problem seems to be that with deregulation, some institutions became financial conglomerates, with one division in banking, and thus difficult to supervise, especially in a country that has a long history of a stable system with strict controls demarcating banking from other forms of intermediation.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Until 1998 the Bank of England effectively supervised the banking sector. From 1 June 1998, the Financial Services Authority became responsible for banking supervision in no small part due to the fallout from the Barings scandal we encountered earlier. The Financial Services and Markets Act of 2000 vested sole statutory responsibility in the area of financial supervision to the Financial Services Authority.</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FINANCIAL INSTRUMENTS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basic operations of financial markets in the United Kingdom are similar to those in Canada. Only some distinctive features need be described here. Government-Backed Instruments Banks and money market dealers hold government financial instruments. A distinctive group of financial instruments is gilt-edged securities (gilts), which are fixed-rate securities issued by the government and traded on the London Stock Exchange. (Securities are often referred to as stocks in the United Kingdom.) They are known as gilts because of the zero probability of default inherent in government financial instruments. These instruments are redeemed on set dates3 , and since 1981, some have been indexed to inflation.4 Before 1998, the Bank of England managed government debt but responsibility is now in the hands of the Debt Management Office. The Bank no longer issues Treasury bills.</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1989, three-quarters of the public debt was held outside the public sector, and 15 percent of it by foreigners, percentages that had been fairly stable throughout the late 1970s and the 1980s. From 1987 through 1991, the central government was actually reducing the national debt, using accumulated surpluses. This five-year trend was reversed in 1992, however, when the central government, on the eve of national elections, projected a large deficit. As elsewhere in the industrial world, surpluses returned by the late 1990s, and new rules had to be drawn up to ensure the smooth operation of government bond auctions for many of the same reasons as in Canada.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events of September 11, 2001 changed fiscal policy as the era of deficits and borrowing returned in the U.K. as elsewhere. However, this time around the borrowing was at interest rates unheard of since the mid-1950s. In 1994, the sale of repos for government bonds (see Chapter 4 for the Canadian case) were introduced in the United Kingdom. In January 1996, the gilt market was further deregulated when all restrictions on repos were removed. Anyone can repo, lend, or borrow gilts for any purpose, whether or not this is accomplished via an intermediary.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Other Money Market Instruments The U.K. money markets issue a variety of instruments of the kind familiar to Canadians. Thus, for example, banks borrow from each other in the interbank market, where the base rate is the LIBOR (London interbank offer rate)—an interest rate we encountered earlier—since it is a key to international rates on assets such as Eurocurrency CDs.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Commercial paper, a short-term financial instrument maturing in seven days to three months also exists, but until recently, it was only issued in a foreign currency. Finally, there is the Eurocurrency market, which, as we have already seen, originated in London.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recent years, floating rate notes (FRNs) have grown in popularity. FRNs are bonds whose interest income varies with changes in money market rates. FRNs are issued in sizes ranging from £20 to £500 million. It is worth noting that the advances in achieving European monetary union (see Chapter 24) as well as the growing integration of financial markets will doubtless have additional influences on the U.K. money market. Yet some important differences compared with other European banking systems remain, particularly in how bank failures are treated and in the extent of the relationship between a bank and a firm in which a bank has a financial stake. In the United Kingdom, as in the United States, this relationship is supposed to be somewhat arm’s length, while the opposite is true in countries such as Germany.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BANK OF ENGLAND OPERATIONS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Bank of England performs all the customary roles of a modern central bank. Thus, it acts as a lender of last resort, is the government’s banker, and collects and disseminates financial data. But unlike the German and U.S. central banks, the Bank of England has always had a close relationship with the central government and, until the late 1990s, has never been viewed as being independent in the sense of being able to impose views on monetary policy that might contradict those of the government in office. The Treasury was able to direct the Bank to change its policies— for example, through a directive (an order).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recent history of the Bank’s monetary policy can be subdivided into several periods. During the 1960s, the Bank used a variety of credit controls—effective ceilings on the amounts that could be borrowed from the banking system. The methods used were high cash reserve ratios and moral suasion, rather than interest rate control, but they were not especially effective because of the absence of restrictions on foreign banks in the country. As a result, a greater reliance on interest rates was put into effect during the 1970s by linking the bank rate—renamed the minimum lending rate—to the rate on Treasury bills. </w:t>
      </w:r>
    </w:p>
    <w:p w:rsidR="000F0E3B" w:rsidRPr="0068182D" w:rsidRDefault="000F0E3B" w:rsidP="000F0E3B">
      <w:pPr>
        <w:tabs>
          <w:tab w:val="left" w:pos="180"/>
        </w:tabs>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Later, at the end of 1973, an implicit tax, called the corset, was introduced on wholesale deposits; banks were required to deposit interest free a fraction of wholesale deposits in excess of some preannounced figure. New monetary policy procedures were introduced following the election of the Conservatives led by Margaret Thatcher in 1981. Reserve ratios were phased out; the Bank published and sought to monitor broader monetary aggregates; interest rates were set primarily by purchases and sales of bills in the money market. Today the Bank of England, like the Bank of Canada, influences interest rates by monitoring and controlling liquidity in the financial sector.</w:t>
      </w:r>
    </w:p>
    <w:p w:rsidR="000F0E3B" w:rsidRPr="0068182D" w:rsidRDefault="000F0E3B" w:rsidP="000F0E3B">
      <w:pPr>
        <w:spacing w:after="0" w:line="240" w:lineRule="auto"/>
        <w:jc w:val="both"/>
        <w:rPr>
          <w:rFonts w:ascii="Times New Roman" w:hAnsi="Times New Roman" w:cs="Times New Roman"/>
          <w:sz w:val="28"/>
          <w:szCs w:val="28"/>
          <w:lang w:val="en-US"/>
        </w:rPr>
      </w:pPr>
    </w:p>
    <w:p w:rsidR="000F0E3B" w:rsidRPr="0068182D" w:rsidRDefault="000F0E3B" w:rsidP="000F0E3B">
      <w:pPr>
        <w:spacing w:after="0" w:line="240" w:lineRule="auto"/>
        <w:ind w:firstLine="708"/>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3.</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State 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and its structure</w:t>
      </w:r>
      <w:r w:rsidRPr="0068182D">
        <w:rPr>
          <w:rFonts w:ascii="Times New Roman" w:hAnsi="Times New Roman" w:cs="Times New Roman"/>
          <w:b/>
          <w:sz w:val="28"/>
          <w:szCs w:val="28"/>
          <w:lang w:val="en-US"/>
        </w:rPr>
        <w:t>.</w:t>
      </w:r>
    </w:p>
    <w:p w:rsidR="000F0E3B" w:rsidRPr="0068182D" w:rsidRDefault="000F0E3B" w:rsidP="000F0E3B">
      <w:pPr>
        <w:pStyle w:val="a6"/>
        <w:shd w:val="clear" w:color="auto" w:fill="FFFFFF"/>
        <w:spacing w:before="0" w:beforeAutospacing="0" w:after="0" w:afterAutospacing="0"/>
        <w:jc w:val="both"/>
        <w:rPr>
          <w:sz w:val="28"/>
          <w:szCs w:val="28"/>
          <w:lang w:val="en-US"/>
        </w:rPr>
      </w:pPr>
    </w:p>
    <w:p w:rsidR="000F0E3B" w:rsidRPr="0068182D" w:rsidRDefault="000F0E3B" w:rsidP="000F0E3B">
      <w:pPr>
        <w:pStyle w:val="a6"/>
        <w:shd w:val="clear" w:color="auto" w:fill="FFFFFF"/>
        <w:spacing w:before="0" w:beforeAutospacing="0" w:after="0" w:afterAutospacing="0"/>
        <w:ind w:firstLine="708"/>
        <w:jc w:val="both"/>
        <w:rPr>
          <w:sz w:val="28"/>
          <w:szCs w:val="28"/>
          <w:lang w:val="en-US"/>
        </w:rPr>
      </w:pPr>
      <w:r w:rsidRPr="0068182D">
        <w:rPr>
          <w:sz w:val="28"/>
          <w:szCs w:val="28"/>
          <w:lang w:val="en-US"/>
        </w:rPr>
        <w:t>The</w:t>
      </w:r>
      <w:r w:rsidRPr="0068182D">
        <w:rPr>
          <w:rStyle w:val="apple-converted-space"/>
          <w:sz w:val="28"/>
          <w:szCs w:val="28"/>
          <w:lang w:val="en-US"/>
        </w:rPr>
        <w:t> </w:t>
      </w:r>
      <w:r w:rsidRPr="0068182D">
        <w:rPr>
          <w:b/>
          <w:bCs/>
          <w:sz w:val="28"/>
          <w:szCs w:val="28"/>
          <w:lang w:val="en-US"/>
        </w:rPr>
        <w:t>United Kingdom budget</w:t>
      </w:r>
      <w:r w:rsidRPr="0068182D">
        <w:rPr>
          <w:rStyle w:val="apple-converted-space"/>
          <w:sz w:val="28"/>
          <w:szCs w:val="28"/>
          <w:lang w:val="en-US"/>
        </w:rPr>
        <w:t> </w:t>
      </w:r>
      <w:r w:rsidRPr="0068182D">
        <w:rPr>
          <w:sz w:val="28"/>
          <w:szCs w:val="28"/>
          <w:lang w:val="en-US"/>
        </w:rPr>
        <w:t>is an annual</w:t>
      </w:r>
      <w:r w:rsidRPr="0068182D">
        <w:rPr>
          <w:rStyle w:val="apple-converted-space"/>
          <w:sz w:val="28"/>
          <w:szCs w:val="28"/>
          <w:lang w:val="en-US"/>
        </w:rPr>
        <w:t> </w:t>
      </w:r>
      <w:hyperlink r:id="rId125" w:tooltip="Budget" w:history="1">
        <w:r w:rsidRPr="0068182D">
          <w:rPr>
            <w:rStyle w:val="a5"/>
            <w:color w:val="auto"/>
            <w:sz w:val="28"/>
            <w:szCs w:val="28"/>
            <w:u w:val="none"/>
            <w:lang w:val="en-US"/>
          </w:rPr>
          <w:t>budget</w:t>
        </w:r>
      </w:hyperlink>
      <w:r w:rsidRPr="0068182D">
        <w:rPr>
          <w:rStyle w:val="apple-converted-space"/>
          <w:sz w:val="28"/>
          <w:szCs w:val="28"/>
          <w:lang w:val="en-US"/>
        </w:rPr>
        <w:t> </w:t>
      </w:r>
      <w:r w:rsidRPr="0068182D">
        <w:rPr>
          <w:sz w:val="28"/>
          <w:szCs w:val="28"/>
          <w:lang w:val="en-US"/>
        </w:rPr>
        <w:t>set by</w:t>
      </w:r>
      <w:r w:rsidRPr="0068182D">
        <w:rPr>
          <w:rStyle w:val="apple-converted-space"/>
          <w:sz w:val="28"/>
          <w:szCs w:val="28"/>
          <w:lang w:val="en-US"/>
        </w:rPr>
        <w:t> </w:t>
      </w:r>
      <w:hyperlink r:id="rId126" w:tooltip="HM Treasury" w:history="1">
        <w:r w:rsidRPr="0068182D">
          <w:rPr>
            <w:rStyle w:val="a5"/>
            <w:color w:val="auto"/>
            <w:sz w:val="28"/>
            <w:szCs w:val="28"/>
            <w:u w:val="none"/>
            <w:lang w:val="en-US"/>
          </w:rPr>
          <w:t>HM Treasury</w:t>
        </w:r>
      </w:hyperlink>
      <w:r w:rsidRPr="0068182D">
        <w:rPr>
          <w:rStyle w:val="apple-converted-space"/>
          <w:sz w:val="28"/>
          <w:szCs w:val="28"/>
          <w:lang w:val="en-US"/>
        </w:rPr>
        <w:t> </w:t>
      </w:r>
      <w:r w:rsidRPr="0068182D">
        <w:rPr>
          <w:sz w:val="28"/>
          <w:szCs w:val="28"/>
          <w:lang w:val="en-US"/>
        </w:rPr>
        <w:t>for the</w:t>
      </w:r>
      <w:r w:rsidRPr="0068182D">
        <w:rPr>
          <w:rStyle w:val="apple-converted-space"/>
          <w:sz w:val="28"/>
          <w:szCs w:val="28"/>
          <w:lang w:val="en-US"/>
        </w:rPr>
        <w:t> </w:t>
      </w:r>
      <w:hyperlink r:id="rId127" w:tooltip="Revenue" w:history="1">
        <w:r w:rsidRPr="0068182D">
          <w:rPr>
            <w:rStyle w:val="a5"/>
            <w:color w:val="auto"/>
            <w:sz w:val="28"/>
            <w:szCs w:val="28"/>
            <w:u w:val="none"/>
            <w:lang w:val="en-US"/>
          </w:rPr>
          <w:t>revenues</w:t>
        </w:r>
      </w:hyperlink>
      <w:r w:rsidRPr="0068182D">
        <w:rPr>
          <w:rStyle w:val="apple-converted-space"/>
          <w:sz w:val="28"/>
          <w:szCs w:val="28"/>
          <w:lang w:val="en-US"/>
        </w:rPr>
        <w:t> </w:t>
      </w:r>
      <w:r w:rsidRPr="0068182D">
        <w:rPr>
          <w:sz w:val="28"/>
          <w:szCs w:val="28"/>
          <w:lang w:val="en-US"/>
        </w:rPr>
        <w:t>to be gathered by</w:t>
      </w:r>
      <w:r w:rsidRPr="0068182D">
        <w:rPr>
          <w:rStyle w:val="apple-converted-space"/>
          <w:sz w:val="28"/>
          <w:szCs w:val="28"/>
          <w:lang w:val="en-US"/>
        </w:rPr>
        <w:t> </w:t>
      </w:r>
      <w:hyperlink r:id="rId128" w:tooltip="HM Revenue and Customs" w:history="1">
        <w:r w:rsidRPr="0068182D">
          <w:rPr>
            <w:rStyle w:val="a5"/>
            <w:color w:val="auto"/>
            <w:sz w:val="28"/>
            <w:szCs w:val="28"/>
            <w:u w:val="none"/>
            <w:lang w:val="en-US"/>
          </w:rPr>
          <w:t>HM Revenue and Customs</w:t>
        </w:r>
      </w:hyperlink>
      <w:r w:rsidRPr="0068182D">
        <w:rPr>
          <w:rStyle w:val="apple-converted-space"/>
          <w:sz w:val="28"/>
          <w:szCs w:val="28"/>
          <w:lang w:val="en-US"/>
        </w:rPr>
        <w:t> </w:t>
      </w:r>
      <w:r w:rsidRPr="0068182D">
        <w:rPr>
          <w:sz w:val="28"/>
          <w:szCs w:val="28"/>
          <w:lang w:val="en-US"/>
        </w:rPr>
        <w:t>and the</w:t>
      </w:r>
      <w:r w:rsidRPr="0068182D">
        <w:rPr>
          <w:rStyle w:val="apple-converted-space"/>
          <w:sz w:val="28"/>
          <w:szCs w:val="28"/>
          <w:lang w:val="en-US"/>
        </w:rPr>
        <w:t> </w:t>
      </w:r>
      <w:hyperlink r:id="rId129" w:tooltip="Cost" w:history="1">
        <w:r w:rsidRPr="0068182D">
          <w:rPr>
            <w:rStyle w:val="a5"/>
            <w:color w:val="auto"/>
            <w:sz w:val="28"/>
            <w:szCs w:val="28"/>
            <w:u w:val="none"/>
            <w:lang w:val="en-US"/>
          </w:rPr>
          <w:t>expenditures</w:t>
        </w:r>
      </w:hyperlink>
      <w:r w:rsidRPr="0068182D">
        <w:rPr>
          <w:rStyle w:val="apple-converted-space"/>
          <w:sz w:val="28"/>
          <w:szCs w:val="28"/>
          <w:lang w:val="en-US"/>
        </w:rPr>
        <w:t> </w:t>
      </w:r>
      <w:r w:rsidRPr="0068182D">
        <w:rPr>
          <w:sz w:val="28"/>
          <w:szCs w:val="28"/>
          <w:lang w:val="en-US"/>
        </w:rPr>
        <w:t>of the</w:t>
      </w:r>
      <w:r w:rsidRPr="0068182D">
        <w:rPr>
          <w:rStyle w:val="apple-converted-space"/>
          <w:sz w:val="28"/>
          <w:szCs w:val="28"/>
          <w:lang w:val="en-US"/>
        </w:rPr>
        <w:t> </w:t>
      </w:r>
      <w:hyperlink r:id="rId130" w:tooltip="Public sector" w:history="1">
        <w:r w:rsidRPr="0068182D">
          <w:rPr>
            <w:rStyle w:val="a5"/>
            <w:color w:val="auto"/>
            <w:sz w:val="28"/>
            <w:szCs w:val="28"/>
            <w:u w:val="none"/>
            <w:lang w:val="en-US"/>
          </w:rPr>
          <w:t>public sector</w:t>
        </w:r>
      </w:hyperlink>
      <w:r w:rsidRPr="0068182D">
        <w:rPr>
          <w:sz w:val="28"/>
          <w:szCs w:val="28"/>
          <w:lang w:val="en-US"/>
        </w:rPr>
        <w:t>, in compliance with</w:t>
      </w:r>
      <w:r w:rsidRPr="0068182D">
        <w:rPr>
          <w:rStyle w:val="apple-converted-space"/>
          <w:sz w:val="28"/>
          <w:szCs w:val="28"/>
          <w:lang w:val="en-US"/>
        </w:rPr>
        <w:t> </w:t>
      </w:r>
      <w:hyperlink r:id="rId131" w:tooltip="Government of the United Kingdom" w:history="1">
        <w:r w:rsidRPr="0068182D">
          <w:rPr>
            <w:rStyle w:val="a5"/>
            <w:color w:val="auto"/>
            <w:sz w:val="28"/>
            <w:szCs w:val="28"/>
            <w:u w:val="none"/>
            <w:lang w:val="en-US"/>
          </w:rPr>
          <w:t>government</w:t>
        </w:r>
      </w:hyperlink>
      <w:r w:rsidRPr="0068182D">
        <w:rPr>
          <w:rStyle w:val="apple-converted-space"/>
          <w:sz w:val="28"/>
          <w:szCs w:val="28"/>
          <w:lang w:val="en-US"/>
        </w:rPr>
        <w:t> </w:t>
      </w:r>
      <w:r w:rsidRPr="0068182D">
        <w:rPr>
          <w:sz w:val="28"/>
          <w:szCs w:val="28"/>
          <w:lang w:val="en-US"/>
        </w:rPr>
        <w:t>policy.</w:t>
      </w:r>
    </w:p>
    <w:p w:rsidR="000F0E3B" w:rsidRPr="0068182D" w:rsidRDefault="000F0E3B" w:rsidP="000F0E3B">
      <w:pPr>
        <w:pStyle w:val="a6"/>
        <w:shd w:val="clear" w:color="auto" w:fill="FFFFFF"/>
        <w:spacing w:before="0" w:beforeAutospacing="0" w:after="0" w:afterAutospacing="0"/>
        <w:jc w:val="both"/>
        <w:rPr>
          <w:sz w:val="28"/>
          <w:szCs w:val="28"/>
          <w:lang w:val="en-US"/>
        </w:rPr>
      </w:pPr>
      <w:r w:rsidRPr="0068182D">
        <w:rPr>
          <w:sz w:val="28"/>
          <w:szCs w:val="28"/>
          <w:lang w:val="en-US"/>
        </w:rPr>
        <w:t>Budgets are usually set once every year and are announced in the</w:t>
      </w:r>
      <w:r w:rsidRPr="0068182D">
        <w:rPr>
          <w:rStyle w:val="apple-converted-space"/>
          <w:sz w:val="28"/>
          <w:szCs w:val="28"/>
          <w:lang w:val="en-US"/>
        </w:rPr>
        <w:t> </w:t>
      </w:r>
      <w:hyperlink r:id="rId132" w:tooltip="House of Commons of the United Kingdom" w:history="1">
        <w:r w:rsidRPr="0068182D">
          <w:rPr>
            <w:rStyle w:val="a5"/>
            <w:color w:val="auto"/>
            <w:sz w:val="28"/>
            <w:szCs w:val="28"/>
            <w:u w:val="none"/>
            <w:lang w:val="en-US"/>
          </w:rPr>
          <w:t>House of Commons</w:t>
        </w:r>
      </w:hyperlink>
      <w:r w:rsidRPr="0068182D">
        <w:rPr>
          <w:rStyle w:val="apple-converted-space"/>
          <w:sz w:val="28"/>
          <w:szCs w:val="28"/>
          <w:lang w:val="en-US"/>
        </w:rPr>
        <w:t> </w:t>
      </w:r>
      <w:r w:rsidRPr="0068182D">
        <w:rPr>
          <w:sz w:val="28"/>
          <w:szCs w:val="28"/>
          <w:lang w:val="en-US"/>
        </w:rPr>
        <w:t>by the</w:t>
      </w:r>
      <w:r w:rsidRPr="0068182D">
        <w:rPr>
          <w:rStyle w:val="apple-converted-space"/>
          <w:sz w:val="28"/>
          <w:szCs w:val="28"/>
          <w:lang w:val="en-US"/>
        </w:rPr>
        <w:t> </w:t>
      </w:r>
      <w:hyperlink r:id="rId133" w:tooltip="Chancellor of the Exchequer" w:history="1">
        <w:r w:rsidRPr="0068182D">
          <w:rPr>
            <w:rStyle w:val="a5"/>
            <w:color w:val="auto"/>
            <w:sz w:val="28"/>
            <w:szCs w:val="28"/>
            <w:u w:val="none"/>
            <w:lang w:val="en-US"/>
          </w:rPr>
          <w:t>Chancellor of the Exchequer</w:t>
        </w:r>
      </w:hyperlink>
      <w:r w:rsidRPr="0068182D">
        <w:rPr>
          <w:sz w:val="28"/>
          <w:szCs w:val="28"/>
          <w:lang w:val="en-US"/>
        </w:rPr>
        <w:t>. The</w:t>
      </w:r>
      <w:r w:rsidRPr="0068182D">
        <w:rPr>
          <w:rStyle w:val="apple-converted-space"/>
          <w:sz w:val="28"/>
          <w:szCs w:val="28"/>
          <w:lang w:val="en-US"/>
        </w:rPr>
        <w:t> </w:t>
      </w:r>
      <w:hyperlink r:id="rId134" w:tooltip="2016 United Kingdom budget" w:history="1">
        <w:r w:rsidRPr="0068182D">
          <w:rPr>
            <w:rStyle w:val="a5"/>
            <w:color w:val="auto"/>
            <w:sz w:val="28"/>
            <w:szCs w:val="28"/>
            <w:u w:val="none"/>
            <w:lang w:val="en-US"/>
          </w:rPr>
          <w:t>latest budget</w:t>
        </w:r>
      </w:hyperlink>
      <w:r w:rsidRPr="0068182D">
        <w:rPr>
          <w:rStyle w:val="apple-converted-space"/>
          <w:sz w:val="28"/>
          <w:szCs w:val="28"/>
          <w:lang w:val="en-US"/>
        </w:rPr>
        <w:t> </w:t>
      </w:r>
      <w:r w:rsidRPr="0068182D">
        <w:rPr>
          <w:sz w:val="28"/>
          <w:szCs w:val="28"/>
          <w:lang w:val="en-US"/>
        </w:rPr>
        <w:t>was presented on Wednesday 16th March 2016. From 2017 the United Kingdom budget will take place in Autumn in order to allow major tax changes to occur annually, well before the start of the fiscal year.</w:t>
      </w:r>
    </w:p>
    <w:p w:rsidR="000F0E3B" w:rsidRPr="0068182D" w:rsidRDefault="000F0E3B" w:rsidP="000F0E3B">
      <w:pPr>
        <w:pStyle w:val="a6"/>
        <w:shd w:val="clear" w:color="auto" w:fill="FFFFFF"/>
        <w:spacing w:before="0" w:beforeAutospacing="0" w:after="0" w:afterAutospacing="0"/>
        <w:jc w:val="both"/>
        <w:rPr>
          <w:color w:val="252525"/>
          <w:sz w:val="28"/>
          <w:szCs w:val="28"/>
          <w:lang w:val="en-US"/>
        </w:rPr>
      </w:pPr>
      <w:r w:rsidRPr="0068182D">
        <w:rPr>
          <w:noProof/>
          <w:sz w:val="28"/>
          <w:szCs w:val="28"/>
        </w:rPr>
        <w:drawing>
          <wp:inline distT="0" distB="0" distL="0" distR="0">
            <wp:extent cx="5940425" cy="2763921"/>
            <wp:effectExtent l="19050" t="0" r="3175" b="0"/>
            <wp:docPr id="64" name="Рисунок 7" descr="United Kingdom Government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ited Kingdom Government Budget"/>
                    <pic:cNvPicPr>
                      <a:picLocks noChangeAspect="1" noChangeArrowheads="1"/>
                    </pic:cNvPicPr>
                  </pic:nvPicPr>
                  <pic:blipFill>
                    <a:blip r:embed="rId135" cstate="print"/>
                    <a:srcRect/>
                    <a:stretch>
                      <a:fillRect/>
                    </a:stretch>
                  </pic:blipFill>
                  <pic:spPr bwMode="auto">
                    <a:xfrm>
                      <a:off x="0" y="0"/>
                      <a:ext cx="5940425" cy="2763921"/>
                    </a:xfrm>
                    <a:prstGeom prst="rect">
                      <a:avLst/>
                    </a:prstGeom>
                    <a:noFill/>
                    <a:ln w="9525">
                      <a:noFill/>
                      <a:miter lim="800000"/>
                      <a:headEnd/>
                      <a:tailEnd/>
                    </a:ln>
                  </pic:spPr>
                </pic:pic>
              </a:graphicData>
            </a:graphic>
          </wp:inline>
        </w:drawing>
      </w:r>
    </w:p>
    <w:p w:rsidR="000F0E3B" w:rsidRPr="0068182D" w:rsidRDefault="000F0E3B" w:rsidP="000F0E3B">
      <w:pPr>
        <w:pStyle w:val="a6"/>
        <w:shd w:val="clear" w:color="auto" w:fill="FFFFFF"/>
        <w:spacing w:before="0" w:beforeAutospacing="0" w:after="0" w:afterAutospacing="0"/>
        <w:jc w:val="both"/>
        <w:rPr>
          <w:rStyle w:val="hps"/>
          <w:b/>
          <w:sz w:val="28"/>
          <w:szCs w:val="28"/>
          <w:lang w:val="en-US"/>
        </w:rPr>
      </w:pPr>
    </w:p>
    <w:p w:rsidR="000F0E3B" w:rsidRPr="0068182D" w:rsidRDefault="000F0E3B" w:rsidP="000F0E3B">
      <w:pPr>
        <w:spacing w:after="0" w:line="240" w:lineRule="auto"/>
        <w:jc w:val="both"/>
        <w:rPr>
          <w:rFonts w:ascii="Times New Roman" w:hAnsi="Times New Roman" w:cs="Times New Roman"/>
          <w:sz w:val="28"/>
          <w:szCs w:val="28"/>
        </w:rPr>
      </w:pPr>
    </w:p>
    <w:tbl>
      <w:tblPr>
        <w:tblW w:w="9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2892"/>
        <w:gridCol w:w="1314"/>
        <w:gridCol w:w="1314"/>
        <w:gridCol w:w="1314"/>
        <w:gridCol w:w="1314"/>
        <w:gridCol w:w="1184"/>
        <w:gridCol w:w="609"/>
      </w:tblGrid>
      <w:tr w:rsidR="000F0E3B" w:rsidRPr="0068182D" w:rsidTr="00FF2DA0">
        <w:trPr>
          <w:tblHeader/>
        </w:trPr>
        <w:tc>
          <w:tcPr>
            <w:tcW w:w="3342" w:type="dxa"/>
            <w:shd w:val="clear" w:color="auto" w:fill="FAFAFA"/>
            <w:tcMar>
              <w:top w:w="132" w:type="dxa"/>
              <w:left w:w="166"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United Kingdom Government</w:t>
            </w:r>
          </w:p>
        </w:tc>
        <w:tc>
          <w:tcPr>
            <w:tcW w:w="1250" w:type="dxa"/>
            <w:shd w:val="clear" w:color="auto" w:fill="FAFAFA"/>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Last</w:t>
            </w:r>
          </w:p>
        </w:tc>
        <w:tc>
          <w:tcPr>
            <w:tcW w:w="1166" w:type="dxa"/>
            <w:shd w:val="clear" w:color="auto" w:fill="FAFAFA"/>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Previous</w:t>
            </w:r>
          </w:p>
        </w:tc>
        <w:tc>
          <w:tcPr>
            <w:tcW w:w="0" w:type="auto"/>
            <w:shd w:val="clear" w:color="auto" w:fill="FAFAFA"/>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Highest</w:t>
            </w:r>
          </w:p>
        </w:tc>
        <w:tc>
          <w:tcPr>
            <w:tcW w:w="0" w:type="auto"/>
            <w:shd w:val="clear" w:color="auto" w:fill="FAFAFA"/>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Lowest</w:t>
            </w:r>
          </w:p>
        </w:tc>
        <w:tc>
          <w:tcPr>
            <w:tcW w:w="1209" w:type="dxa"/>
            <w:shd w:val="clear" w:color="auto" w:fill="FAFAFA"/>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000000"/>
                <w:sz w:val="28"/>
                <w:szCs w:val="28"/>
              </w:rPr>
            </w:pPr>
            <w:r w:rsidRPr="0068182D">
              <w:rPr>
                <w:rFonts w:ascii="Times New Roman" w:hAnsi="Times New Roman" w:cs="Times New Roman"/>
                <w:color w:val="000000"/>
                <w:sz w:val="28"/>
                <w:szCs w:val="28"/>
              </w:rPr>
              <w:t>Unit</w:t>
            </w:r>
          </w:p>
        </w:tc>
        <w:tc>
          <w:tcPr>
            <w:tcW w:w="0" w:type="auto"/>
            <w:shd w:val="clear" w:color="auto" w:fill="FAFAFA"/>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000000"/>
                <w:sz w:val="28"/>
                <w:szCs w:val="28"/>
              </w:rPr>
            </w:pPr>
          </w:p>
        </w:tc>
      </w:tr>
      <w:tr w:rsidR="000F0E3B" w:rsidRPr="0068182D" w:rsidTr="00FF2DA0">
        <w:tc>
          <w:tcPr>
            <w:tcW w:w="3342" w:type="dxa"/>
            <w:shd w:val="clear" w:color="auto" w:fill="FFFFFF"/>
            <w:tcMar>
              <w:top w:w="132" w:type="dxa"/>
              <w:left w:w="166"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36" w:history="1">
              <w:r w:rsidR="000F0E3B" w:rsidRPr="0068182D">
                <w:rPr>
                  <w:rFonts w:ascii="Times New Roman" w:hAnsi="Times New Roman" w:cs="Times New Roman"/>
                  <w:color w:val="333333"/>
                  <w:sz w:val="28"/>
                  <w:szCs w:val="28"/>
                </w:rPr>
                <w:t>Government Debt to GDP</w:t>
              </w:r>
            </w:hyperlink>
          </w:p>
        </w:tc>
        <w:tc>
          <w:tcPr>
            <w:tcW w:w="1250"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89.20</w:t>
            </w:r>
          </w:p>
        </w:tc>
        <w:tc>
          <w:tcPr>
            <w:tcW w:w="1166"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88.20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89.20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31.30</w:t>
            </w:r>
          </w:p>
        </w:tc>
        <w:tc>
          <w:tcPr>
            <w:tcW w:w="1209"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percent</w:t>
            </w:r>
          </w:p>
        </w:tc>
        <w:tc>
          <w:tcPr>
            <w:tcW w:w="0" w:type="auto"/>
            <w:shd w:val="clear" w:color="auto" w:fill="FFFFFF"/>
            <w:tcMar>
              <w:top w:w="132" w:type="dxa"/>
              <w:left w:w="132"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37" w:tgtFrame="_blank" w:history="1">
              <w:r w:rsidR="000F0E3B" w:rsidRPr="0068182D">
                <w:rPr>
                  <w:rFonts w:ascii="Times New Roman" w:hAnsi="Times New Roman" w:cs="Times New Roman"/>
                  <w:color w:val="333333"/>
                  <w:sz w:val="28"/>
                  <w:szCs w:val="28"/>
                </w:rPr>
                <w:t>[+]</w:t>
              </w:r>
            </w:hyperlink>
          </w:p>
        </w:tc>
      </w:tr>
      <w:tr w:rsidR="000F0E3B" w:rsidRPr="0068182D" w:rsidTr="00FF2DA0">
        <w:tc>
          <w:tcPr>
            <w:tcW w:w="3342" w:type="dxa"/>
            <w:shd w:val="clear" w:color="auto" w:fill="FFFFFF"/>
            <w:tcMar>
              <w:top w:w="132" w:type="dxa"/>
              <w:left w:w="166"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38" w:history="1">
              <w:r w:rsidR="000F0E3B" w:rsidRPr="0068182D">
                <w:rPr>
                  <w:rFonts w:ascii="Times New Roman" w:hAnsi="Times New Roman" w:cs="Times New Roman"/>
                  <w:color w:val="333333"/>
                  <w:sz w:val="28"/>
                  <w:szCs w:val="28"/>
                </w:rPr>
                <w:t>Government Budget</w:t>
              </w:r>
            </w:hyperlink>
          </w:p>
        </w:tc>
        <w:tc>
          <w:tcPr>
            <w:tcW w:w="1250"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-4.40</w:t>
            </w:r>
          </w:p>
        </w:tc>
        <w:tc>
          <w:tcPr>
            <w:tcW w:w="1166"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-5.60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1.20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-10.80</w:t>
            </w:r>
          </w:p>
        </w:tc>
        <w:tc>
          <w:tcPr>
            <w:tcW w:w="1209"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percent of GDP</w:t>
            </w:r>
          </w:p>
        </w:tc>
        <w:tc>
          <w:tcPr>
            <w:tcW w:w="0" w:type="auto"/>
            <w:shd w:val="clear" w:color="auto" w:fill="FFFFFF"/>
            <w:tcMar>
              <w:top w:w="132" w:type="dxa"/>
              <w:left w:w="132"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39" w:tgtFrame="_blank" w:history="1">
              <w:r w:rsidR="000F0E3B" w:rsidRPr="0068182D">
                <w:rPr>
                  <w:rFonts w:ascii="Times New Roman" w:hAnsi="Times New Roman" w:cs="Times New Roman"/>
                  <w:color w:val="333333"/>
                  <w:sz w:val="28"/>
                  <w:szCs w:val="28"/>
                </w:rPr>
                <w:t>[+]</w:t>
              </w:r>
            </w:hyperlink>
          </w:p>
        </w:tc>
      </w:tr>
      <w:tr w:rsidR="000F0E3B" w:rsidRPr="0068182D" w:rsidTr="00FF2DA0">
        <w:tc>
          <w:tcPr>
            <w:tcW w:w="3342" w:type="dxa"/>
            <w:shd w:val="clear" w:color="auto" w:fill="FFFFFF"/>
            <w:tcMar>
              <w:top w:w="132" w:type="dxa"/>
              <w:left w:w="166"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40" w:history="1">
              <w:r w:rsidR="000F0E3B" w:rsidRPr="0068182D">
                <w:rPr>
                  <w:rFonts w:ascii="Times New Roman" w:hAnsi="Times New Roman" w:cs="Times New Roman"/>
                  <w:color w:val="333333"/>
                  <w:sz w:val="28"/>
                  <w:szCs w:val="28"/>
                </w:rPr>
                <w:t>Government Budget Value</w:t>
              </w:r>
            </w:hyperlink>
          </w:p>
        </w:tc>
        <w:tc>
          <w:tcPr>
            <w:tcW w:w="1250"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-26466.00</w:t>
            </w:r>
          </w:p>
        </w:tc>
        <w:tc>
          <w:tcPr>
            <w:tcW w:w="1166"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36344.00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55627.00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-35687.00</w:t>
            </w:r>
          </w:p>
        </w:tc>
        <w:tc>
          <w:tcPr>
            <w:tcW w:w="1209"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GBP Million</w:t>
            </w:r>
          </w:p>
        </w:tc>
        <w:tc>
          <w:tcPr>
            <w:tcW w:w="0" w:type="auto"/>
            <w:shd w:val="clear" w:color="auto" w:fill="FFFFFF"/>
            <w:tcMar>
              <w:top w:w="132" w:type="dxa"/>
              <w:left w:w="132"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41" w:tgtFrame="_blank" w:history="1">
              <w:r w:rsidR="000F0E3B" w:rsidRPr="0068182D">
                <w:rPr>
                  <w:rFonts w:ascii="Times New Roman" w:hAnsi="Times New Roman" w:cs="Times New Roman"/>
                  <w:color w:val="333333"/>
                  <w:sz w:val="28"/>
                  <w:szCs w:val="28"/>
                </w:rPr>
                <w:t>[+]</w:t>
              </w:r>
            </w:hyperlink>
          </w:p>
        </w:tc>
      </w:tr>
      <w:tr w:rsidR="000F0E3B" w:rsidRPr="0068182D" w:rsidTr="00FF2DA0">
        <w:tc>
          <w:tcPr>
            <w:tcW w:w="3342" w:type="dxa"/>
            <w:shd w:val="clear" w:color="auto" w:fill="FFFFFF"/>
            <w:tcMar>
              <w:top w:w="132" w:type="dxa"/>
              <w:left w:w="166"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42" w:history="1">
              <w:r w:rsidR="000F0E3B" w:rsidRPr="0068182D">
                <w:rPr>
                  <w:rFonts w:ascii="Times New Roman" w:hAnsi="Times New Roman" w:cs="Times New Roman"/>
                  <w:color w:val="333333"/>
                  <w:sz w:val="28"/>
                  <w:szCs w:val="28"/>
                </w:rPr>
                <w:t>Government Spending</w:t>
              </w:r>
            </w:hyperlink>
          </w:p>
        </w:tc>
        <w:tc>
          <w:tcPr>
            <w:tcW w:w="1250"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91253.00</w:t>
            </w:r>
          </w:p>
        </w:tc>
        <w:tc>
          <w:tcPr>
            <w:tcW w:w="1166"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91218.00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91340.00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31331.00</w:t>
            </w:r>
          </w:p>
        </w:tc>
        <w:tc>
          <w:tcPr>
            <w:tcW w:w="1209"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GBP Million</w:t>
            </w:r>
          </w:p>
        </w:tc>
        <w:tc>
          <w:tcPr>
            <w:tcW w:w="0" w:type="auto"/>
            <w:shd w:val="clear" w:color="auto" w:fill="FFFFFF"/>
            <w:tcMar>
              <w:top w:w="132" w:type="dxa"/>
              <w:left w:w="132"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43" w:tgtFrame="_blank" w:history="1">
              <w:r w:rsidR="000F0E3B" w:rsidRPr="0068182D">
                <w:rPr>
                  <w:rFonts w:ascii="Times New Roman" w:hAnsi="Times New Roman" w:cs="Times New Roman"/>
                  <w:color w:val="333333"/>
                  <w:sz w:val="28"/>
                  <w:szCs w:val="28"/>
                </w:rPr>
                <w:t>[+]</w:t>
              </w:r>
            </w:hyperlink>
          </w:p>
        </w:tc>
      </w:tr>
      <w:tr w:rsidR="000F0E3B" w:rsidRPr="0068182D" w:rsidTr="00FF2DA0">
        <w:tc>
          <w:tcPr>
            <w:tcW w:w="3342" w:type="dxa"/>
            <w:shd w:val="clear" w:color="auto" w:fill="FFFFFF"/>
            <w:tcMar>
              <w:top w:w="132" w:type="dxa"/>
              <w:left w:w="166"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44" w:history="1">
              <w:r w:rsidR="000F0E3B" w:rsidRPr="0068182D">
                <w:rPr>
                  <w:rFonts w:ascii="Times New Roman" w:hAnsi="Times New Roman" w:cs="Times New Roman"/>
                  <w:color w:val="333333"/>
                  <w:sz w:val="28"/>
                  <w:szCs w:val="28"/>
                </w:rPr>
                <w:t>Government Spending to GDP</w:t>
              </w:r>
            </w:hyperlink>
          </w:p>
        </w:tc>
        <w:tc>
          <w:tcPr>
            <w:tcW w:w="1250"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43.20</w:t>
            </w:r>
          </w:p>
        </w:tc>
        <w:tc>
          <w:tcPr>
            <w:tcW w:w="1166"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43.90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51.20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37.80</w:t>
            </w:r>
          </w:p>
        </w:tc>
        <w:tc>
          <w:tcPr>
            <w:tcW w:w="1209"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percent</w:t>
            </w:r>
          </w:p>
        </w:tc>
        <w:tc>
          <w:tcPr>
            <w:tcW w:w="0" w:type="auto"/>
            <w:shd w:val="clear" w:color="auto" w:fill="FFFFFF"/>
            <w:tcMar>
              <w:top w:w="132" w:type="dxa"/>
              <w:left w:w="132"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45" w:tgtFrame="_blank" w:history="1">
              <w:r w:rsidR="000F0E3B" w:rsidRPr="0068182D">
                <w:rPr>
                  <w:rFonts w:ascii="Times New Roman" w:hAnsi="Times New Roman" w:cs="Times New Roman"/>
                  <w:color w:val="333333"/>
                  <w:sz w:val="28"/>
                  <w:szCs w:val="28"/>
                </w:rPr>
                <w:t>[+]</w:t>
              </w:r>
            </w:hyperlink>
          </w:p>
        </w:tc>
      </w:tr>
      <w:tr w:rsidR="000F0E3B" w:rsidRPr="0068182D" w:rsidTr="00FF2DA0">
        <w:tc>
          <w:tcPr>
            <w:tcW w:w="3342" w:type="dxa"/>
            <w:shd w:val="clear" w:color="auto" w:fill="FFFFFF"/>
            <w:tcMar>
              <w:top w:w="132" w:type="dxa"/>
              <w:left w:w="166"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46" w:history="1">
              <w:r w:rsidR="000F0E3B" w:rsidRPr="0068182D">
                <w:rPr>
                  <w:rFonts w:ascii="Times New Roman" w:hAnsi="Times New Roman" w:cs="Times New Roman"/>
                  <w:color w:val="333333"/>
                  <w:sz w:val="28"/>
                  <w:szCs w:val="28"/>
                </w:rPr>
                <w:t>Government Debt</w:t>
              </w:r>
            </w:hyperlink>
          </w:p>
        </w:tc>
        <w:tc>
          <w:tcPr>
            <w:tcW w:w="1250"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9824.00</w:t>
            </w:r>
          </w:p>
        </w:tc>
        <w:tc>
          <w:tcPr>
            <w:tcW w:w="1166"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-4237.00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9824.00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-20095.00</w:t>
            </w:r>
          </w:p>
        </w:tc>
        <w:tc>
          <w:tcPr>
            <w:tcW w:w="1209"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GBP Million</w:t>
            </w:r>
          </w:p>
        </w:tc>
        <w:tc>
          <w:tcPr>
            <w:tcW w:w="0" w:type="auto"/>
            <w:shd w:val="clear" w:color="auto" w:fill="FFFFFF"/>
            <w:tcMar>
              <w:top w:w="132" w:type="dxa"/>
              <w:left w:w="132"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47" w:tgtFrame="_blank" w:history="1">
              <w:r w:rsidR="000F0E3B" w:rsidRPr="0068182D">
                <w:rPr>
                  <w:rFonts w:ascii="Times New Roman" w:hAnsi="Times New Roman" w:cs="Times New Roman"/>
                  <w:color w:val="333333"/>
                  <w:sz w:val="28"/>
                  <w:szCs w:val="28"/>
                </w:rPr>
                <w:t>[+]</w:t>
              </w:r>
            </w:hyperlink>
          </w:p>
        </w:tc>
      </w:tr>
      <w:tr w:rsidR="000F0E3B" w:rsidRPr="0068182D" w:rsidTr="00FF2DA0">
        <w:tc>
          <w:tcPr>
            <w:tcW w:w="3342" w:type="dxa"/>
            <w:shd w:val="clear" w:color="auto" w:fill="FFFFFF"/>
            <w:tcMar>
              <w:top w:w="132" w:type="dxa"/>
              <w:left w:w="166"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48" w:history="1">
              <w:r w:rsidR="000F0E3B" w:rsidRPr="0068182D">
                <w:rPr>
                  <w:rFonts w:ascii="Times New Roman" w:hAnsi="Times New Roman" w:cs="Times New Roman"/>
                  <w:color w:val="333333"/>
                  <w:sz w:val="28"/>
                  <w:szCs w:val="28"/>
                </w:rPr>
                <w:t>Credit Rating</w:t>
              </w:r>
            </w:hyperlink>
          </w:p>
        </w:tc>
        <w:tc>
          <w:tcPr>
            <w:tcW w:w="1250"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94.83</w:t>
            </w:r>
          </w:p>
        </w:tc>
        <w:tc>
          <w:tcPr>
            <w:tcW w:w="1166"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p>
        </w:tc>
        <w:tc>
          <w:tcPr>
            <w:tcW w:w="1209"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p>
        </w:tc>
        <w:tc>
          <w:tcPr>
            <w:tcW w:w="0" w:type="auto"/>
            <w:shd w:val="clear" w:color="auto" w:fill="FFFFFF"/>
            <w:tcMar>
              <w:top w:w="132" w:type="dxa"/>
              <w:left w:w="132"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49" w:tgtFrame="_blank" w:history="1">
              <w:r w:rsidR="000F0E3B" w:rsidRPr="0068182D">
                <w:rPr>
                  <w:rFonts w:ascii="Times New Roman" w:hAnsi="Times New Roman" w:cs="Times New Roman"/>
                  <w:color w:val="333333"/>
                  <w:sz w:val="28"/>
                  <w:szCs w:val="28"/>
                </w:rPr>
                <w:t>[+]</w:t>
              </w:r>
            </w:hyperlink>
          </w:p>
        </w:tc>
      </w:tr>
      <w:tr w:rsidR="000F0E3B" w:rsidRPr="0068182D" w:rsidTr="00FF2DA0">
        <w:tc>
          <w:tcPr>
            <w:tcW w:w="3342" w:type="dxa"/>
            <w:shd w:val="clear" w:color="auto" w:fill="FFFFFF"/>
            <w:tcMar>
              <w:top w:w="132" w:type="dxa"/>
              <w:left w:w="166"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50" w:history="1">
              <w:r w:rsidR="000F0E3B" w:rsidRPr="0068182D">
                <w:rPr>
                  <w:rFonts w:ascii="Times New Roman" w:hAnsi="Times New Roman" w:cs="Times New Roman"/>
                  <w:color w:val="333333"/>
                  <w:sz w:val="28"/>
                  <w:szCs w:val="28"/>
                </w:rPr>
                <w:t>Military Expenditure</w:t>
              </w:r>
            </w:hyperlink>
          </w:p>
        </w:tc>
        <w:tc>
          <w:tcPr>
            <w:tcW w:w="1250"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59729.60</w:t>
            </w:r>
          </w:p>
        </w:tc>
        <w:tc>
          <w:tcPr>
            <w:tcW w:w="1166"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59182.90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70679.20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51200.00</w:t>
            </w:r>
          </w:p>
        </w:tc>
        <w:tc>
          <w:tcPr>
            <w:tcW w:w="1209"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USD Million</w:t>
            </w:r>
          </w:p>
        </w:tc>
        <w:tc>
          <w:tcPr>
            <w:tcW w:w="0" w:type="auto"/>
            <w:shd w:val="clear" w:color="auto" w:fill="FFFFFF"/>
            <w:tcMar>
              <w:top w:w="132" w:type="dxa"/>
              <w:left w:w="132"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51" w:tgtFrame="_blank" w:history="1">
              <w:r w:rsidR="000F0E3B" w:rsidRPr="0068182D">
                <w:rPr>
                  <w:rFonts w:ascii="Times New Roman" w:hAnsi="Times New Roman" w:cs="Times New Roman"/>
                  <w:color w:val="333333"/>
                  <w:sz w:val="28"/>
                  <w:szCs w:val="28"/>
                </w:rPr>
                <w:t>[+]</w:t>
              </w:r>
            </w:hyperlink>
          </w:p>
        </w:tc>
      </w:tr>
      <w:tr w:rsidR="000F0E3B" w:rsidRPr="0068182D" w:rsidTr="00FF2DA0">
        <w:tc>
          <w:tcPr>
            <w:tcW w:w="3342" w:type="dxa"/>
            <w:shd w:val="clear" w:color="auto" w:fill="FFFFFF"/>
            <w:tcMar>
              <w:top w:w="132" w:type="dxa"/>
              <w:left w:w="166"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52" w:history="1">
              <w:r w:rsidR="000F0E3B" w:rsidRPr="0068182D">
                <w:rPr>
                  <w:rFonts w:ascii="Times New Roman" w:hAnsi="Times New Roman" w:cs="Times New Roman"/>
                  <w:color w:val="333333"/>
                  <w:sz w:val="28"/>
                  <w:szCs w:val="28"/>
                </w:rPr>
                <w:t>Asylum Applications</w:t>
              </w:r>
            </w:hyperlink>
          </w:p>
        </w:tc>
        <w:tc>
          <w:tcPr>
            <w:tcW w:w="1250"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3080.00</w:t>
            </w:r>
          </w:p>
        </w:tc>
        <w:tc>
          <w:tcPr>
            <w:tcW w:w="1166"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2900.00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5040.00</w:t>
            </w:r>
          </w:p>
        </w:tc>
        <w:tc>
          <w:tcPr>
            <w:tcW w:w="0" w:type="auto"/>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1655.00</w:t>
            </w:r>
          </w:p>
        </w:tc>
        <w:tc>
          <w:tcPr>
            <w:tcW w:w="1209" w:type="dxa"/>
            <w:shd w:val="clear" w:color="auto" w:fill="FFFFFF"/>
            <w:tcMar>
              <w:top w:w="132" w:type="dxa"/>
              <w:left w:w="132" w:type="dxa"/>
              <w:bottom w:w="132" w:type="dxa"/>
              <w:right w:w="132" w:type="dxa"/>
            </w:tcMar>
            <w:hideMark/>
          </w:tcPr>
          <w:p w:rsidR="000F0E3B" w:rsidRPr="0068182D" w:rsidRDefault="000F0E3B"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t>persons</w:t>
            </w:r>
          </w:p>
        </w:tc>
        <w:tc>
          <w:tcPr>
            <w:tcW w:w="0" w:type="auto"/>
            <w:shd w:val="clear" w:color="auto" w:fill="FFFFFF"/>
            <w:tcMar>
              <w:top w:w="132" w:type="dxa"/>
              <w:left w:w="132"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hyperlink r:id="rId153" w:tgtFrame="_blank" w:history="1">
              <w:r w:rsidR="000F0E3B" w:rsidRPr="0068182D">
                <w:rPr>
                  <w:rFonts w:ascii="Times New Roman" w:hAnsi="Times New Roman" w:cs="Times New Roman"/>
                  <w:color w:val="333333"/>
                  <w:sz w:val="28"/>
                  <w:szCs w:val="28"/>
                </w:rPr>
                <w:t>[+]</w:t>
              </w:r>
            </w:hyperlink>
          </w:p>
        </w:tc>
      </w:tr>
      <w:tr w:rsidR="000F0E3B" w:rsidRPr="0068182D" w:rsidTr="00FF2DA0">
        <w:tc>
          <w:tcPr>
            <w:tcW w:w="9941" w:type="dxa"/>
            <w:gridSpan w:val="7"/>
            <w:shd w:val="clear" w:color="auto" w:fill="FFFFFF"/>
            <w:tcMar>
              <w:top w:w="132" w:type="dxa"/>
              <w:left w:w="132" w:type="dxa"/>
              <w:bottom w:w="132" w:type="dxa"/>
              <w:right w:w="132" w:type="dxa"/>
            </w:tcMar>
            <w:hideMark/>
          </w:tcPr>
          <w:p w:rsidR="000F0E3B" w:rsidRPr="0068182D" w:rsidRDefault="00CD577A"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fldChar w:fldCharType="begin"/>
            </w:r>
            <w:r w:rsidR="000F0E3B" w:rsidRPr="0068182D">
              <w:rPr>
                <w:rFonts w:ascii="Times New Roman" w:hAnsi="Times New Roman" w:cs="Times New Roman"/>
                <w:color w:val="333333"/>
                <w:sz w:val="28"/>
                <w:szCs w:val="28"/>
              </w:rPr>
              <w:instrText xml:space="preserve"> HYPERLINK "http://www.tradingeconomics.com/united-kingdom/indicators" </w:instrText>
            </w:r>
            <w:r w:rsidRPr="0068182D">
              <w:rPr>
                <w:rFonts w:ascii="Times New Roman" w:hAnsi="Times New Roman" w:cs="Times New Roman"/>
                <w:color w:val="333333"/>
                <w:sz w:val="28"/>
                <w:szCs w:val="28"/>
              </w:rPr>
              <w:fldChar w:fldCharType="separate"/>
            </w:r>
          </w:p>
          <w:p w:rsidR="000F0E3B" w:rsidRPr="0068182D" w:rsidRDefault="00CD577A" w:rsidP="000F0E3B">
            <w:pPr>
              <w:spacing w:after="0" w:line="240" w:lineRule="auto"/>
              <w:jc w:val="both"/>
              <w:rPr>
                <w:rFonts w:ascii="Times New Roman" w:hAnsi="Times New Roman" w:cs="Times New Roman"/>
                <w:color w:val="333333"/>
                <w:sz w:val="28"/>
                <w:szCs w:val="28"/>
              </w:rPr>
            </w:pPr>
            <w:r w:rsidRPr="0068182D">
              <w:rPr>
                <w:rFonts w:ascii="Times New Roman" w:hAnsi="Times New Roman" w:cs="Times New Roman"/>
                <w:color w:val="333333"/>
                <w:sz w:val="28"/>
                <w:szCs w:val="28"/>
              </w:rPr>
              <w:fldChar w:fldCharType="end"/>
            </w:r>
          </w:p>
        </w:tc>
      </w:tr>
    </w:tbl>
    <w:p w:rsidR="000F0E3B" w:rsidRPr="0068182D" w:rsidRDefault="000F0E3B" w:rsidP="000F0E3B">
      <w:pPr>
        <w:pStyle w:val="a6"/>
        <w:shd w:val="clear" w:color="auto" w:fill="FFFFFF"/>
        <w:spacing w:before="0" w:beforeAutospacing="0" w:after="0" w:afterAutospacing="0"/>
        <w:ind w:firstLine="708"/>
        <w:jc w:val="both"/>
        <w:rPr>
          <w:b/>
          <w:sz w:val="28"/>
          <w:szCs w:val="28"/>
          <w:lang w:val="en-US"/>
        </w:rPr>
      </w:pPr>
      <w:r w:rsidRPr="0068182D">
        <w:rPr>
          <w:rStyle w:val="hps"/>
          <w:sz w:val="28"/>
          <w:szCs w:val="28"/>
          <w:lang w:val="en-US"/>
        </w:rPr>
        <w:t>4.</w:t>
      </w:r>
      <w:r w:rsidRPr="0068182D">
        <w:rPr>
          <w:b/>
          <w:sz w:val="28"/>
          <w:szCs w:val="28"/>
          <w:lang w:val="en-US"/>
        </w:rPr>
        <w:t xml:space="preserve"> </w:t>
      </w:r>
      <w:r w:rsidRPr="0068182D">
        <w:rPr>
          <w:rStyle w:val="hps"/>
          <w:sz w:val="28"/>
          <w:szCs w:val="28"/>
          <w:lang w:val="en-US"/>
        </w:rPr>
        <w:t>Specificity of</w:t>
      </w:r>
      <w:r w:rsidRPr="0068182D">
        <w:rPr>
          <w:b/>
          <w:sz w:val="28"/>
          <w:szCs w:val="28"/>
          <w:lang w:val="en-US"/>
        </w:rPr>
        <w:t xml:space="preserve"> </w:t>
      </w:r>
      <w:r w:rsidRPr="0068182D">
        <w:rPr>
          <w:rStyle w:val="hps"/>
          <w:sz w:val="28"/>
          <w:szCs w:val="28"/>
          <w:lang w:val="en-US"/>
        </w:rPr>
        <w:t>the budget process</w:t>
      </w:r>
      <w:r w:rsidRPr="0068182D">
        <w:rPr>
          <w:b/>
          <w:sz w:val="28"/>
          <w:szCs w:val="28"/>
          <w:lang w:val="en-US"/>
        </w:rPr>
        <w:t xml:space="preserve"> </w:t>
      </w:r>
      <w:r w:rsidRPr="0068182D">
        <w:rPr>
          <w:rStyle w:val="hps"/>
          <w:sz w:val="28"/>
          <w:szCs w:val="28"/>
          <w:lang w:val="en-US"/>
        </w:rPr>
        <w:t>in the UK</w:t>
      </w:r>
      <w:r w:rsidRPr="0068182D">
        <w:rPr>
          <w:b/>
          <w:sz w:val="28"/>
          <w:szCs w:val="28"/>
          <w:lang w:val="en-US"/>
        </w:rPr>
        <w:t>.</w:t>
      </w:r>
    </w:p>
    <w:p w:rsidR="000F0E3B" w:rsidRPr="0068182D" w:rsidRDefault="000F0E3B" w:rsidP="000F0E3B">
      <w:pPr>
        <w:pStyle w:val="a6"/>
        <w:shd w:val="clear" w:color="auto" w:fill="FFFFFF"/>
        <w:spacing w:before="0" w:beforeAutospacing="0" w:after="0" w:afterAutospacing="0"/>
        <w:jc w:val="both"/>
        <w:rPr>
          <w:b/>
          <w:color w:val="252525"/>
          <w:sz w:val="28"/>
          <w:szCs w:val="28"/>
          <w:lang w:val="en-US"/>
        </w:rPr>
      </w:pPr>
    </w:p>
    <w:p w:rsidR="000F0E3B" w:rsidRPr="0068182D" w:rsidRDefault="000F0E3B" w:rsidP="000F0E3B">
      <w:pPr>
        <w:pStyle w:val="a6"/>
        <w:shd w:val="clear" w:color="auto" w:fill="FFFFFF"/>
        <w:spacing w:before="0" w:beforeAutospacing="0" w:after="0" w:afterAutospacing="0"/>
        <w:ind w:firstLine="708"/>
        <w:jc w:val="both"/>
        <w:rPr>
          <w:color w:val="252525"/>
          <w:sz w:val="28"/>
          <w:szCs w:val="28"/>
          <w:lang w:val="en-US"/>
        </w:rPr>
      </w:pPr>
      <w:r w:rsidRPr="0068182D">
        <w:rPr>
          <w:color w:val="252525"/>
          <w:sz w:val="28"/>
          <w:szCs w:val="28"/>
          <w:lang w:val="en-US"/>
        </w:rPr>
        <w:t>The UK</w:t>
      </w:r>
      <w:r w:rsidRPr="0068182D">
        <w:rPr>
          <w:rStyle w:val="apple-converted-space"/>
          <w:color w:val="252525"/>
          <w:sz w:val="28"/>
          <w:szCs w:val="28"/>
          <w:lang w:val="en-US"/>
        </w:rPr>
        <w:t> </w:t>
      </w:r>
      <w:hyperlink r:id="rId154" w:tooltip="Fiscal year" w:history="1">
        <w:r w:rsidRPr="0068182D">
          <w:rPr>
            <w:rStyle w:val="a5"/>
            <w:color w:val="0B0080"/>
            <w:sz w:val="28"/>
            <w:szCs w:val="28"/>
            <w:lang w:val="en-US"/>
          </w:rPr>
          <w:t>fiscal year</w:t>
        </w:r>
      </w:hyperlink>
      <w:r w:rsidRPr="0068182D">
        <w:rPr>
          <w:rStyle w:val="apple-converted-space"/>
          <w:color w:val="252525"/>
          <w:sz w:val="28"/>
          <w:szCs w:val="28"/>
          <w:lang w:val="en-US"/>
        </w:rPr>
        <w:t> </w:t>
      </w:r>
      <w:r w:rsidRPr="0068182D">
        <w:rPr>
          <w:color w:val="252525"/>
          <w:sz w:val="28"/>
          <w:szCs w:val="28"/>
          <w:lang w:val="en-US"/>
        </w:rPr>
        <w:t>— termed the "financial year", ends on 31 March of the following calendar year. Thus, the UK budget for financial year 2011 would cover the period from 1 April 2011 to 31 March 2012 and is often referred to as 2011–12.</w:t>
      </w:r>
    </w:p>
    <w:p w:rsidR="000F0E3B" w:rsidRPr="0068182D" w:rsidRDefault="000F0E3B" w:rsidP="000F0E3B">
      <w:pPr>
        <w:pStyle w:val="a6"/>
        <w:shd w:val="clear" w:color="auto" w:fill="FFFFFF"/>
        <w:spacing w:before="0" w:beforeAutospacing="0" w:after="0" w:afterAutospacing="0"/>
        <w:ind w:firstLine="708"/>
        <w:jc w:val="both"/>
        <w:rPr>
          <w:color w:val="252525"/>
          <w:sz w:val="28"/>
          <w:szCs w:val="28"/>
          <w:lang w:val="en-US"/>
        </w:rPr>
      </w:pPr>
      <w:r w:rsidRPr="0068182D">
        <w:rPr>
          <w:color w:val="252525"/>
          <w:sz w:val="28"/>
          <w:szCs w:val="28"/>
          <w:lang w:val="en-US"/>
        </w:rPr>
        <w:t>The budget is usually released in March, less than one month before the beginning of the new fiscal year. Parliament is not expected to take action on a budget for the fiscal year until the summer, several months</w:t>
      </w:r>
      <w:r w:rsidRPr="0068182D">
        <w:rPr>
          <w:rStyle w:val="apple-converted-space"/>
          <w:color w:val="252525"/>
          <w:sz w:val="28"/>
          <w:szCs w:val="28"/>
          <w:lang w:val="en-US"/>
        </w:rPr>
        <w:t> </w:t>
      </w:r>
      <w:r w:rsidRPr="0068182D">
        <w:rPr>
          <w:i/>
          <w:iCs/>
          <w:color w:val="252525"/>
          <w:sz w:val="28"/>
          <w:szCs w:val="28"/>
          <w:lang w:val="en-US"/>
        </w:rPr>
        <w:t>after</w:t>
      </w:r>
      <w:r w:rsidRPr="0068182D">
        <w:rPr>
          <w:rStyle w:val="apple-converted-space"/>
          <w:color w:val="252525"/>
          <w:sz w:val="28"/>
          <w:szCs w:val="28"/>
          <w:lang w:val="en-US"/>
        </w:rPr>
        <w:t> </w:t>
      </w:r>
      <w:r w:rsidRPr="0068182D">
        <w:rPr>
          <w:color w:val="252525"/>
          <w:sz w:val="28"/>
          <w:szCs w:val="28"/>
          <w:lang w:val="en-US"/>
        </w:rPr>
        <w:t>the start of the fiscal year. For that reason, Parliament typically passes a "Vote on Account" in early spring that provides continuity of funding into the new fiscal year, up until the point that the new budget is enacted. The spending authorized in the Vote on Account is normally 45% of the amounts already authorized in the current fiscal year, taking into account the Main Estimates and any revised or Supplementary Estimates already approved by Parliament.</w:t>
      </w:r>
      <w:hyperlink r:id="rId155" w:anchor="cite_note-3" w:history="1">
        <w:r w:rsidRPr="0068182D">
          <w:rPr>
            <w:rStyle w:val="a5"/>
            <w:color w:val="0B0080"/>
            <w:sz w:val="28"/>
            <w:szCs w:val="28"/>
            <w:vertAlign w:val="superscript"/>
            <w:lang w:val="en-US"/>
          </w:rPr>
          <w:t>[3]</w:t>
        </w:r>
      </w:hyperlink>
      <w:r w:rsidRPr="0068182D">
        <w:rPr>
          <w:rStyle w:val="apple-converted-space"/>
          <w:color w:val="252525"/>
          <w:sz w:val="28"/>
          <w:szCs w:val="28"/>
          <w:lang w:val="en-US"/>
        </w:rPr>
        <w:t> </w:t>
      </w:r>
      <w:r w:rsidRPr="0068182D">
        <w:rPr>
          <w:color w:val="252525"/>
          <w:sz w:val="28"/>
          <w:szCs w:val="28"/>
          <w:lang w:val="en-US"/>
        </w:rPr>
        <w:t>Legislative action on the proposed budget generally aligns with the executive's original budget request, since the Prime Minister's cabinet tends to exert significant control over Parliament (the Prime Minister must have a majority in the</w:t>
      </w:r>
      <w:r w:rsidRPr="0068182D">
        <w:rPr>
          <w:rStyle w:val="apple-converted-space"/>
          <w:color w:val="252525"/>
          <w:sz w:val="28"/>
          <w:szCs w:val="28"/>
          <w:lang w:val="en-US"/>
        </w:rPr>
        <w:t> </w:t>
      </w:r>
      <w:hyperlink r:id="rId156" w:tooltip="House of Commons of the United Kingdom" w:history="1">
        <w:r w:rsidRPr="0068182D">
          <w:rPr>
            <w:rStyle w:val="a5"/>
            <w:color w:val="0B0080"/>
            <w:sz w:val="28"/>
            <w:szCs w:val="28"/>
            <w:lang w:val="en-US"/>
          </w:rPr>
          <w:t>House of Commons</w:t>
        </w:r>
      </w:hyperlink>
      <w:r w:rsidRPr="0068182D">
        <w:rPr>
          <w:rStyle w:val="apple-converted-space"/>
          <w:color w:val="252525"/>
          <w:sz w:val="28"/>
          <w:szCs w:val="28"/>
          <w:lang w:val="en-US"/>
        </w:rPr>
        <w:t> </w:t>
      </w:r>
      <w:r w:rsidRPr="0068182D">
        <w:rPr>
          <w:color w:val="252525"/>
          <w:sz w:val="28"/>
          <w:szCs w:val="28"/>
          <w:lang w:val="en-US"/>
        </w:rPr>
        <w:t>to retain power).</w:t>
      </w:r>
    </w:p>
    <w:p w:rsidR="000F0E3B" w:rsidRPr="0068182D" w:rsidRDefault="000F0E3B" w:rsidP="000F0E3B">
      <w:pPr>
        <w:pStyle w:val="a6"/>
        <w:shd w:val="clear" w:color="auto" w:fill="FFFFFF"/>
        <w:spacing w:before="0" w:beforeAutospacing="0" w:after="0" w:afterAutospacing="0"/>
        <w:ind w:firstLine="708"/>
        <w:jc w:val="both"/>
        <w:rPr>
          <w:color w:val="252525"/>
          <w:sz w:val="28"/>
          <w:szCs w:val="28"/>
          <w:lang w:val="en-US"/>
        </w:rPr>
      </w:pPr>
      <w:r w:rsidRPr="0068182D">
        <w:rPr>
          <w:color w:val="252525"/>
          <w:sz w:val="28"/>
          <w:szCs w:val="28"/>
          <w:lang w:val="en-US"/>
        </w:rPr>
        <w:t>Governmental departments submit their funding requests — called "Main Supply Estimates" – to</w:t>
      </w:r>
      <w:r w:rsidRPr="0068182D">
        <w:rPr>
          <w:rStyle w:val="apple-converted-space"/>
          <w:color w:val="252525"/>
          <w:sz w:val="28"/>
          <w:szCs w:val="28"/>
          <w:lang w:val="en-US"/>
        </w:rPr>
        <w:t> </w:t>
      </w:r>
      <w:hyperlink r:id="rId157" w:tooltip="HM Treasury" w:history="1">
        <w:r w:rsidRPr="0068182D">
          <w:rPr>
            <w:rStyle w:val="a5"/>
            <w:color w:val="0B0080"/>
            <w:sz w:val="28"/>
            <w:szCs w:val="28"/>
            <w:lang w:val="en-US"/>
          </w:rPr>
          <w:t>HM Treasury</w:t>
        </w:r>
      </w:hyperlink>
      <w:r w:rsidRPr="0068182D">
        <w:rPr>
          <w:color w:val="252525"/>
          <w:sz w:val="28"/>
          <w:szCs w:val="28"/>
          <w:lang w:val="en-US"/>
        </w:rPr>
        <w:t>. The government then releases this data in a large consolidated document titled "Central Government Supply Estimates (Budget Year-Following Year): Main Supply Estimates"</w:t>
      </w:r>
      <w:r w:rsidRPr="0068182D">
        <w:rPr>
          <w:rStyle w:val="apple-converted-space"/>
          <w:color w:val="252525"/>
          <w:sz w:val="28"/>
          <w:szCs w:val="28"/>
          <w:lang w:val="en-US"/>
        </w:rPr>
        <w:t> </w:t>
      </w:r>
    </w:p>
    <w:p w:rsidR="000F0E3B" w:rsidRPr="0068182D" w:rsidRDefault="000F0E3B" w:rsidP="000F0E3B">
      <w:pPr>
        <w:pStyle w:val="a6"/>
        <w:shd w:val="clear" w:color="auto" w:fill="FFFFFF"/>
        <w:spacing w:before="0" w:beforeAutospacing="0" w:after="0" w:afterAutospacing="0"/>
        <w:ind w:firstLine="708"/>
        <w:jc w:val="both"/>
        <w:rPr>
          <w:color w:val="252525"/>
          <w:sz w:val="28"/>
          <w:szCs w:val="28"/>
          <w:lang w:val="en-US"/>
        </w:rPr>
      </w:pPr>
      <w:r w:rsidRPr="0068182D">
        <w:rPr>
          <w:color w:val="252525"/>
          <w:sz w:val="28"/>
          <w:szCs w:val="28"/>
          <w:lang w:val="en-US"/>
        </w:rPr>
        <w:t>The government reserves the right to submit "Supplementary Estimates" in the spring and winter of a given fiscal year to update its agencies' spending totals for the current financial year and report any governmental re-organizations. When an agency submits a Supplementary Estimate, it is customary to also submit an "Estimate Memorandum" to the agency's relevant oversight committee in Parliament describing and justifying the changes. This condenses two functions – reporting supplemental spending requests and agency re-organizations.</w:t>
      </w:r>
    </w:p>
    <w:p w:rsidR="000F0E3B" w:rsidRPr="0068182D" w:rsidRDefault="000F0E3B" w:rsidP="000F0E3B">
      <w:pPr>
        <w:pStyle w:val="a6"/>
        <w:shd w:val="clear" w:color="auto" w:fill="FFFFFF"/>
        <w:spacing w:before="0" w:beforeAutospacing="0" w:after="0" w:afterAutospacing="0"/>
        <w:jc w:val="both"/>
        <w:rPr>
          <w:color w:val="252525"/>
          <w:sz w:val="28"/>
          <w:szCs w:val="28"/>
          <w:lang w:val="en-US"/>
        </w:rPr>
      </w:pPr>
    </w:p>
    <w:p w:rsidR="000F0E3B" w:rsidRPr="0068182D" w:rsidRDefault="000F0E3B" w:rsidP="000F0E3B">
      <w:pPr>
        <w:spacing w:after="0" w:line="240" w:lineRule="auto"/>
        <w:ind w:firstLine="708"/>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Local Finance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role of local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budgets,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structure of their</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income and expenses</w:t>
      </w:r>
      <w:r w:rsidRPr="0068182D">
        <w:rPr>
          <w:rFonts w:ascii="Times New Roman" w:hAnsi="Times New Roman" w:cs="Times New Roman"/>
          <w:b/>
          <w:sz w:val="28"/>
          <w:szCs w:val="28"/>
          <w:lang w:val="en-US"/>
        </w:rPr>
        <w:br/>
      </w:r>
    </w:p>
    <w:p w:rsidR="000F0E3B" w:rsidRPr="0068182D" w:rsidRDefault="000F0E3B" w:rsidP="000F0E3B">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United Kingdom is constitutionally a unitary state: ultimate sovereignty resides with the UK Parliament, and it is up to Parliament to decide what powers and responsibilities (if any) it devolves to local or regional bodies, and how such bodies are organised and financed. This contrasts with federations such as Germany and the United States of America, where the autonomy of subnational authorities (länder in Germany or states of the USA) and the division of powers between federal and subnational governments are constitutionally entrenched. </w:t>
      </w:r>
    </w:p>
    <w:p w:rsidR="000F0E3B" w:rsidRPr="0068182D" w:rsidRDefault="000F0E3B" w:rsidP="000F0E3B">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Historically, the UK has been relatively centralised even compared with other unitary states. Since the current Labour government came to power in 1997, devolved administrations have been set up in Scotland, Wales and Northern Ireland (described below). Moves towards locally elected regional assemblies in England (other than in London, also described below) stalled after one was rejected in a referendum in the North-East. In principle, devolution to the constituent countries of the UK means that many policy areas – with the notable exceptions of foreign and defence policy – have been decentralised. However, as shown in Section 4, tax (and social security) policy remains almost entirely the preserve of the UK central government, meaning that, crucially, devolved and local authorities have little control over their overall budgets. </w:t>
      </w:r>
    </w:p>
    <w:p w:rsidR="000F0E3B" w:rsidRPr="0068182D" w:rsidRDefault="000F0E3B" w:rsidP="000F0E3B">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Local government in the UK is split between single-tier and two-tier council structures.1 Scotland, Northern Ireland and Wales have entirely single-tier local government structures, while in England both forms of local authority exist. A two-tier system exists across rural England, with 34 County Councils, which cover areas with populations between 500,000 and 1½ million, primarily responsible for the provision of education, social services, transport and fire services.2 Within each County Council area, there are between 4 and 14 District Councils, a total of 239 in England, whose responsibilities include housing, local planning, building regulation, refuse collection and environmental health. These District Councils are also responsible for the collection of council tax and the administration of housing benefit and council tax benefit. The two tiers may share responsibility for recreation and cultural matters. Elsewhere in England, responsibility for all the services provided by County and District Councils is held by a single tier of authority. In London these are called London Borough Councils and in six other urban areas they are known as Metropolitan District Councils. A further 46 Unitary Authorities exist, created from previously two-tier local governments. Typically, these involve the county town – such as Plymouth, Leicester and Stoke-on-Trent – being a Unitary Authority while the rest of the county – in these cases Devon, Leicestershire and Staffordshire respectively – remains on a two-tier basis. However, Unitary Authorities often collaborate with neighbouring Unitary Authorities or County Councils through ‘joint boards’ to provide some services (such as fire, police and public transport) collectively where this is believed to help deliver a more efficient provision of services than having these services delivered by smaller units. Table 2.1 sets out the number of local councils of each type across England, Scotland, Wales and Northern Ireland.</w:t>
      </w:r>
    </w:p>
    <w:p w:rsidR="000F0E3B" w:rsidRPr="0068182D" w:rsidRDefault="000F0E3B" w:rsidP="000F0E3B">
      <w:pPr>
        <w:spacing w:after="0" w:line="240" w:lineRule="auto"/>
        <w:ind w:firstLine="708"/>
        <w:jc w:val="both"/>
        <w:rPr>
          <w:rFonts w:ascii="Times New Roman" w:hAnsi="Times New Roman" w:cs="Times New Roman"/>
          <w:sz w:val="28"/>
          <w:szCs w:val="28"/>
          <w:lang w:val="en-US"/>
        </w:rPr>
      </w:pPr>
    </w:p>
    <w:p w:rsidR="000F0E3B" w:rsidRPr="0068182D" w:rsidRDefault="000F0E3B" w:rsidP="000F0E3B">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noProof/>
          <w:sz w:val="28"/>
          <w:szCs w:val="28"/>
        </w:rPr>
        <w:drawing>
          <wp:inline distT="0" distB="0" distL="0" distR="0">
            <wp:extent cx="4718307" cy="3647089"/>
            <wp:effectExtent l="19050" t="0" r="6093" b="0"/>
            <wp:docPr id="6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cstate="print"/>
                    <a:srcRect/>
                    <a:stretch>
                      <a:fillRect/>
                    </a:stretch>
                  </pic:blipFill>
                  <pic:spPr bwMode="auto">
                    <a:xfrm>
                      <a:off x="0" y="0"/>
                      <a:ext cx="4718427" cy="3647182"/>
                    </a:xfrm>
                    <a:prstGeom prst="rect">
                      <a:avLst/>
                    </a:prstGeom>
                    <a:noFill/>
                    <a:ln w="9525">
                      <a:noFill/>
                      <a:miter lim="800000"/>
                      <a:headEnd/>
                      <a:tailEnd/>
                    </a:ln>
                  </pic:spPr>
                </pic:pic>
              </a:graphicData>
            </a:graphic>
          </wp:inline>
        </w:drawing>
      </w:r>
    </w:p>
    <w:p w:rsidR="000F0E3B" w:rsidRPr="0068182D" w:rsidRDefault="000F0E3B" w:rsidP="000F0E3B">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noProof/>
          <w:sz w:val="28"/>
          <w:szCs w:val="28"/>
        </w:rPr>
        <w:drawing>
          <wp:inline distT="0" distB="0" distL="0" distR="0">
            <wp:extent cx="4487628" cy="2806262"/>
            <wp:effectExtent l="19050" t="0" r="8172" b="0"/>
            <wp:docPr id="6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9" cstate="print"/>
                    <a:srcRect/>
                    <a:stretch>
                      <a:fillRect/>
                    </a:stretch>
                  </pic:blipFill>
                  <pic:spPr bwMode="auto">
                    <a:xfrm>
                      <a:off x="0" y="0"/>
                      <a:ext cx="4489562" cy="2807471"/>
                    </a:xfrm>
                    <a:prstGeom prst="rect">
                      <a:avLst/>
                    </a:prstGeom>
                    <a:noFill/>
                    <a:ln w="9525">
                      <a:noFill/>
                      <a:miter lim="800000"/>
                      <a:headEnd/>
                      <a:tailEnd/>
                    </a:ln>
                  </pic:spPr>
                </pic:pic>
              </a:graphicData>
            </a:graphic>
          </wp:inline>
        </w:drawing>
      </w:r>
    </w:p>
    <w:p w:rsidR="000F0E3B" w:rsidRPr="0068182D" w:rsidRDefault="000F0E3B" w:rsidP="000F0E3B">
      <w:pPr>
        <w:spacing w:after="0" w:line="240" w:lineRule="auto"/>
        <w:ind w:firstLine="708"/>
        <w:jc w:val="both"/>
        <w:rPr>
          <w:rFonts w:ascii="Times New Roman" w:hAnsi="Times New Roman" w:cs="Times New Roman"/>
          <w:sz w:val="28"/>
          <w:szCs w:val="28"/>
          <w:lang w:val="en-US"/>
        </w:rPr>
      </w:pPr>
    </w:p>
    <w:p w:rsidR="000F0E3B" w:rsidRPr="0068182D" w:rsidRDefault="000F0E3B" w:rsidP="000F0E3B">
      <w:pPr>
        <w:spacing w:after="0" w:line="240" w:lineRule="auto"/>
        <w:ind w:firstLine="709"/>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6.</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Features of taxation</w:t>
      </w:r>
      <w:r w:rsidRPr="0068182D">
        <w:rPr>
          <w:rFonts w:ascii="Times New Roman" w:hAnsi="Times New Roman" w:cs="Times New Roman"/>
          <w:b/>
          <w:sz w:val="28"/>
          <w:szCs w:val="28"/>
          <w:lang w:val="en-US"/>
        </w:rPr>
        <w:t xml:space="preserve"> in</w:t>
      </w:r>
      <w:r w:rsidRPr="0068182D">
        <w:rPr>
          <w:rStyle w:val="hps"/>
          <w:rFonts w:ascii="Times New Roman" w:hAnsi="Times New Roman" w:cs="Times New Roman"/>
          <w:sz w:val="28"/>
          <w:szCs w:val="28"/>
          <w:lang w:val="en-US"/>
        </w:rPr>
        <w:t xml:space="preserve"> UK</w:t>
      </w:r>
      <w:r w:rsidRPr="0068182D">
        <w:rPr>
          <w:rFonts w:ascii="Times New Roman" w:hAnsi="Times New Roman" w:cs="Times New Roman"/>
          <w:b/>
          <w:sz w:val="28"/>
          <w:szCs w:val="28"/>
          <w:lang w:val="en-US"/>
        </w:rPr>
        <w:t>.</w:t>
      </w:r>
    </w:p>
    <w:p w:rsidR="000F0E3B" w:rsidRPr="0068182D" w:rsidRDefault="000F0E3B" w:rsidP="000F0E3B">
      <w:pPr>
        <w:spacing w:after="0" w:line="240" w:lineRule="auto"/>
        <w:jc w:val="both"/>
        <w:rPr>
          <w:rFonts w:ascii="Times New Roman" w:hAnsi="Times New Roman" w:cs="Times New Roman"/>
          <w:sz w:val="28"/>
          <w:szCs w:val="28"/>
          <w:lang w:val="en-US"/>
        </w:rPr>
      </w:pPr>
    </w:p>
    <w:p w:rsidR="000F0E3B" w:rsidRPr="0068182D" w:rsidRDefault="000F0E3B" w:rsidP="000F0E3B">
      <w:pPr>
        <w:spacing w:after="0" w:line="240" w:lineRule="auto"/>
        <w:ind w:firstLine="708"/>
        <w:jc w:val="both"/>
        <w:rPr>
          <w:rFonts w:ascii="Times New Roman" w:hAnsi="Times New Roman" w:cs="Times New Roman"/>
          <w:color w:val="252525"/>
          <w:sz w:val="28"/>
          <w:szCs w:val="28"/>
          <w:shd w:val="clear" w:color="auto" w:fill="FFFFFF"/>
          <w:lang w:val="en-US"/>
        </w:rPr>
      </w:pPr>
      <w:r w:rsidRPr="0068182D">
        <w:rPr>
          <w:rFonts w:ascii="Times New Roman" w:hAnsi="Times New Roman" w:cs="Times New Roman"/>
          <w:b/>
          <w:bCs/>
          <w:sz w:val="28"/>
          <w:szCs w:val="28"/>
          <w:shd w:val="clear" w:color="auto" w:fill="FFFFFF"/>
          <w:lang w:val="en-US"/>
        </w:rPr>
        <w:t>Taxation in the United Kingdom</w:t>
      </w:r>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may involve payments to a minimum of three different levels of government: the</w:t>
      </w:r>
      <w:r w:rsidRPr="0068182D">
        <w:rPr>
          <w:rStyle w:val="apple-converted-space"/>
          <w:rFonts w:ascii="Times New Roman" w:hAnsi="Times New Roman" w:cs="Times New Roman"/>
          <w:sz w:val="28"/>
          <w:szCs w:val="28"/>
          <w:shd w:val="clear" w:color="auto" w:fill="FFFFFF"/>
          <w:lang w:val="en-US"/>
        </w:rPr>
        <w:t> </w:t>
      </w:r>
      <w:hyperlink r:id="rId160" w:tooltip="Government of the United Kingdom" w:history="1">
        <w:r w:rsidRPr="0068182D">
          <w:rPr>
            <w:rStyle w:val="a5"/>
            <w:rFonts w:ascii="Times New Roman" w:hAnsi="Times New Roman" w:cs="Times New Roman"/>
            <w:color w:val="auto"/>
            <w:sz w:val="28"/>
            <w:szCs w:val="28"/>
            <w:u w:val="none"/>
            <w:shd w:val="clear" w:color="auto" w:fill="FFFFFF"/>
            <w:lang w:val="en-US"/>
          </w:rPr>
          <w:t>central government</w:t>
        </w:r>
      </w:hyperlink>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w:t>
      </w:r>
      <w:hyperlink r:id="rId161" w:tooltip="Her Majesty's Revenue and Customs" w:history="1">
        <w:r w:rsidRPr="0068182D">
          <w:rPr>
            <w:rStyle w:val="a5"/>
            <w:rFonts w:ascii="Times New Roman" w:hAnsi="Times New Roman" w:cs="Times New Roman"/>
            <w:color w:val="auto"/>
            <w:sz w:val="28"/>
            <w:szCs w:val="28"/>
            <w:u w:val="none"/>
            <w:shd w:val="clear" w:color="auto" w:fill="FFFFFF"/>
            <w:lang w:val="en-US"/>
          </w:rPr>
          <w:t>Her Majesty's Revenue and Customs</w:t>
        </w:r>
      </w:hyperlink>
      <w:r w:rsidRPr="0068182D">
        <w:rPr>
          <w:rFonts w:ascii="Times New Roman" w:hAnsi="Times New Roman" w:cs="Times New Roman"/>
          <w:sz w:val="28"/>
          <w:szCs w:val="28"/>
          <w:shd w:val="clear" w:color="auto" w:fill="FFFFFF"/>
          <w:lang w:val="en-US"/>
        </w:rPr>
        <w:t>), devolved national governments and</w:t>
      </w:r>
      <w:r w:rsidRPr="0068182D">
        <w:rPr>
          <w:rStyle w:val="apple-converted-space"/>
          <w:rFonts w:ascii="Times New Roman" w:hAnsi="Times New Roman" w:cs="Times New Roman"/>
          <w:sz w:val="28"/>
          <w:szCs w:val="28"/>
          <w:shd w:val="clear" w:color="auto" w:fill="FFFFFF"/>
          <w:lang w:val="en-US"/>
        </w:rPr>
        <w:t> </w:t>
      </w:r>
      <w:hyperlink r:id="rId162" w:tooltip="Local government in the United Kingdom" w:history="1">
        <w:r w:rsidRPr="0068182D">
          <w:rPr>
            <w:rStyle w:val="a5"/>
            <w:rFonts w:ascii="Times New Roman" w:hAnsi="Times New Roman" w:cs="Times New Roman"/>
            <w:color w:val="auto"/>
            <w:sz w:val="28"/>
            <w:szCs w:val="28"/>
            <w:u w:val="none"/>
            <w:shd w:val="clear" w:color="auto" w:fill="FFFFFF"/>
            <w:lang w:val="en-US"/>
          </w:rPr>
          <w:t>local government</w:t>
        </w:r>
      </w:hyperlink>
      <w:r w:rsidRPr="0068182D">
        <w:rPr>
          <w:rFonts w:ascii="Times New Roman" w:hAnsi="Times New Roman" w:cs="Times New Roman"/>
          <w:sz w:val="28"/>
          <w:szCs w:val="28"/>
          <w:shd w:val="clear" w:color="auto" w:fill="FFFFFF"/>
          <w:lang w:val="en-US"/>
        </w:rPr>
        <w:t>. Central government revenues come primarily from</w:t>
      </w:r>
      <w:r w:rsidRPr="0068182D">
        <w:rPr>
          <w:rStyle w:val="apple-converted-space"/>
          <w:rFonts w:ascii="Times New Roman" w:hAnsi="Times New Roman" w:cs="Times New Roman"/>
          <w:sz w:val="28"/>
          <w:szCs w:val="28"/>
          <w:shd w:val="clear" w:color="auto" w:fill="FFFFFF"/>
          <w:lang w:val="en-US"/>
        </w:rPr>
        <w:t> </w:t>
      </w:r>
      <w:hyperlink r:id="rId163" w:tooltip="Income tax" w:history="1">
        <w:r w:rsidRPr="0068182D">
          <w:rPr>
            <w:rStyle w:val="a5"/>
            <w:rFonts w:ascii="Times New Roman" w:hAnsi="Times New Roman" w:cs="Times New Roman"/>
            <w:color w:val="auto"/>
            <w:sz w:val="28"/>
            <w:szCs w:val="28"/>
            <w:u w:val="none"/>
            <w:shd w:val="clear" w:color="auto" w:fill="FFFFFF"/>
            <w:lang w:val="en-US"/>
          </w:rPr>
          <w:t>income tax</w:t>
        </w:r>
      </w:hyperlink>
      <w:r w:rsidRPr="0068182D">
        <w:rPr>
          <w:rFonts w:ascii="Times New Roman" w:hAnsi="Times New Roman" w:cs="Times New Roman"/>
          <w:sz w:val="28"/>
          <w:szCs w:val="28"/>
          <w:shd w:val="clear" w:color="auto" w:fill="FFFFFF"/>
          <w:lang w:val="en-US"/>
        </w:rPr>
        <w:t>,</w:t>
      </w:r>
      <w:r w:rsidRPr="0068182D">
        <w:rPr>
          <w:rStyle w:val="apple-converted-space"/>
          <w:rFonts w:ascii="Times New Roman" w:hAnsi="Times New Roman" w:cs="Times New Roman"/>
          <w:sz w:val="28"/>
          <w:szCs w:val="28"/>
          <w:shd w:val="clear" w:color="auto" w:fill="FFFFFF"/>
          <w:lang w:val="en-US"/>
        </w:rPr>
        <w:t> </w:t>
      </w:r>
      <w:hyperlink r:id="rId164" w:tooltip="National Insurance" w:history="1">
        <w:r w:rsidRPr="0068182D">
          <w:rPr>
            <w:rStyle w:val="a5"/>
            <w:rFonts w:ascii="Times New Roman" w:hAnsi="Times New Roman" w:cs="Times New Roman"/>
            <w:color w:val="auto"/>
            <w:sz w:val="28"/>
            <w:szCs w:val="28"/>
            <w:u w:val="none"/>
            <w:shd w:val="clear" w:color="auto" w:fill="FFFFFF"/>
            <w:lang w:val="en-US"/>
          </w:rPr>
          <w:t>National Insurance</w:t>
        </w:r>
      </w:hyperlink>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contributions,</w:t>
      </w:r>
      <w:r w:rsidRPr="0068182D">
        <w:rPr>
          <w:rStyle w:val="apple-converted-space"/>
          <w:rFonts w:ascii="Times New Roman" w:hAnsi="Times New Roman" w:cs="Times New Roman"/>
          <w:sz w:val="28"/>
          <w:szCs w:val="28"/>
          <w:shd w:val="clear" w:color="auto" w:fill="FFFFFF"/>
          <w:lang w:val="en-US"/>
        </w:rPr>
        <w:t> </w:t>
      </w:r>
      <w:hyperlink r:id="rId165" w:tooltip="Value added tax" w:history="1">
        <w:r w:rsidRPr="0068182D">
          <w:rPr>
            <w:rStyle w:val="a5"/>
            <w:rFonts w:ascii="Times New Roman" w:hAnsi="Times New Roman" w:cs="Times New Roman"/>
            <w:color w:val="auto"/>
            <w:sz w:val="28"/>
            <w:szCs w:val="28"/>
            <w:u w:val="none"/>
            <w:shd w:val="clear" w:color="auto" w:fill="FFFFFF"/>
            <w:lang w:val="en-US"/>
          </w:rPr>
          <w:t>value added tax</w:t>
        </w:r>
      </w:hyperlink>
      <w:r w:rsidRPr="0068182D">
        <w:rPr>
          <w:rFonts w:ascii="Times New Roman" w:hAnsi="Times New Roman" w:cs="Times New Roman"/>
          <w:sz w:val="28"/>
          <w:szCs w:val="28"/>
          <w:shd w:val="clear" w:color="auto" w:fill="FFFFFF"/>
          <w:lang w:val="en-US"/>
        </w:rPr>
        <w:t>,</w:t>
      </w:r>
      <w:r w:rsidRPr="0068182D">
        <w:rPr>
          <w:rStyle w:val="apple-converted-space"/>
          <w:rFonts w:ascii="Times New Roman" w:hAnsi="Times New Roman" w:cs="Times New Roman"/>
          <w:sz w:val="28"/>
          <w:szCs w:val="28"/>
          <w:shd w:val="clear" w:color="auto" w:fill="FFFFFF"/>
          <w:lang w:val="en-US"/>
        </w:rPr>
        <w:t> </w:t>
      </w:r>
      <w:hyperlink r:id="rId166" w:tooltip="United Kingdom corporation tax" w:history="1">
        <w:r w:rsidRPr="0068182D">
          <w:rPr>
            <w:rStyle w:val="a5"/>
            <w:rFonts w:ascii="Times New Roman" w:hAnsi="Times New Roman" w:cs="Times New Roman"/>
            <w:color w:val="auto"/>
            <w:sz w:val="28"/>
            <w:szCs w:val="28"/>
            <w:u w:val="none"/>
            <w:shd w:val="clear" w:color="auto" w:fill="FFFFFF"/>
            <w:lang w:val="en-US"/>
          </w:rPr>
          <w:t>corporation tax</w:t>
        </w:r>
      </w:hyperlink>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and</w:t>
      </w:r>
      <w:r w:rsidRPr="0068182D">
        <w:rPr>
          <w:rStyle w:val="apple-converted-space"/>
          <w:rFonts w:ascii="Times New Roman" w:hAnsi="Times New Roman" w:cs="Times New Roman"/>
          <w:sz w:val="28"/>
          <w:szCs w:val="28"/>
          <w:shd w:val="clear" w:color="auto" w:fill="FFFFFF"/>
          <w:lang w:val="en-US"/>
        </w:rPr>
        <w:t> </w:t>
      </w:r>
      <w:hyperlink r:id="rId167" w:tooltip="Hydrocarbon oil duty" w:history="1">
        <w:r w:rsidRPr="0068182D">
          <w:rPr>
            <w:rStyle w:val="a5"/>
            <w:rFonts w:ascii="Times New Roman" w:hAnsi="Times New Roman" w:cs="Times New Roman"/>
            <w:color w:val="auto"/>
            <w:sz w:val="28"/>
            <w:szCs w:val="28"/>
            <w:u w:val="none"/>
            <w:shd w:val="clear" w:color="auto" w:fill="FFFFFF"/>
            <w:lang w:val="en-US"/>
          </w:rPr>
          <w:t>fuel duty</w:t>
        </w:r>
      </w:hyperlink>
      <w:r w:rsidRPr="0068182D">
        <w:rPr>
          <w:rFonts w:ascii="Times New Roman" w:hAnsi="Times New Roman" w:cs="Times New Roman"/>
          <w:sz w:val="28"/>
          <w:szCs w:val="28"/>
          <w:shd w:val="clear" w:color="auto" w:fill="FFFFFF"/>
          <w:lang w:val="en-US"/>
        </w:rPr>
        <w:t>. Local government revenues come primarily from grants from central government funds,</w:t>
      </w:r>
      <w:r w:rsidRPr="0068182D">
        <w:rPr>
          <w:rStyle w:val="apple-converted-space"/>
          <w:rFonts w:ascii="Times New Roman" w:hAnsi="Times New Roman" w:cs="Times New Roman"/>
          <w:sz w:val="28"/>
          <w:szCs w:val="28"/>
          <w:shd w:val="clear" w:color="auto" w:fill="FFFFFF"/>
          <w:lang w:val="en-US"/>
        </w:rPr>
        <w:t> </w:t>
      </w:r>
      <w:hyperlink r:id="rId168" w:tooltip="Business rates in England and Wales" w:history="1">
        <w:r w:rsidRPr="0068182D">
          <w:rPr>
            <w:rStyle w:val="a5"/>
            <w:rFonts w:ascii="Times New Roman" w:hAnsi="Times New Roman" w:cs="Times New Roman"/>
            <w:color w:val="auto"/>
            <w:sz w:val="28"/>
            <w:szCs w:val="28"/>
            <w:u w:val="none"/>
            <w:shd w:val="clear" w:color="auto" w:fill="FFFFFF"/>
            <w:lang w:val="en-US"/>
          </w:rPr>
          <w:t>business rates in England and Wales</w:t>
        </w:r>
      </w:hyperlink>
      <w:r w:rsidRPr="0068182D">
        <w:rPr>
          <w:rFonts w:ascii="Times New Roman" w:hAnsi="Times New Roman" w:cs="Times New Roman"/>
          <w:sz w:val="28"/>
          <w:szCs w:val="28"/>
          <w:shd w:val="clear" w:color="auto" w:fill="FFFFFF"/>
          <w:lang w:val="en-US"/>
        </w:rPr>
        <w:t>,</w:t>
      </w:r>
      <w:r w:rsidRPr="0068182D">
        <w:rPr>
          <w:rStyle w:val="apple-converted-space"/>
          <w:rFonts w:ascii="Times New Roman" w:hAnsi="Times New Roman" w:cs="Times New Roman"/>
          <w:sz w:val="28"/>
          <w:szCs w:val="28"/>
          <w:shd w:val="clear" w:color="auto" w:fill="FFFFFF"/>
          <w:lang w:val="en-US"/>
        </w:rPr>
        <w:t> </w:t>
      </w:r>
      <w:hyperlink r:id="rId169" w:tooltip="Council Tax" w:history="1">
        <w:r w:rsidRPr="0068182D">
          <w:rPr>
            <w:rStyle w:val="a5"/>
            <w:rFonts w:ascii="Times New Roman" w:hAnsi="Times New Roman" w:cs="Times New Roman"/>
            <w:color w:val="auto"/>
            <w:sz w:val="28"/>
            <w:szCs w:val="28"/>
            <w:u w:val="none"/>
            <w:shd w:val="clear" w:color="auto" w:fill="FFFFFF"/>
            <w:lang w:val="en-US"/>
          </w:rPr>
          <w:t>Council Tax</w:t>
        </w:r>
      </w:hyperlink>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and increasingly from fees and charges such as those from</w:t>
      </w:r>
      <w:r w:rsidRPr="0068182D">
        <w:rPr>
          <w:rStyle w:val="apple-converted-space"/>
          <w:rFonts w:ascii="Times New Roman" w:hAnsi="Times New Roman" w:cs="Times New Roman"/>
          <w:sz w:val="28"/>
          <w:szCs w:val="28"/>
          <w:shd w:val="clear" w:color="auto" w:fill="FFFFFF"/>
          <w:lang w:val="en-US"/>
        </w:rPr>
        <w:t> </w:t>
      </w:r>
      <w:hyperlink r:id="rId170" w:tooltip="Decriminalised parking enforcement" w:history="1">
        <w:r w:rsidRPr="0068182D">
          <w:rPr>
            <w:rStyle w:val="a5"/>
            <w:rFonts w:ascii="Times New Roman" w:hAnsi="Times New Roman" w:cs="Times New Roman"/>
            <w:color w:val="auto"/>
            <w:sz w:val="28"/>
            <w:szCs w:val="28"/>
            <w:u w:val="none"/>
            <w:shd w:val="clear" w:color="auto" w:fill="FFFFFF"/>
            <w:lang w:val="en-US"/>
          </w:rPr>
          <w:t>on-street parking</w:t>
        </w:r>
      </w:hyperlink>
      <w:r w:rsidRPr="0068182D">
        <w:rPr>
          <w:rFonts w:ascii="Times New Roman" w:hAnsi="Times New Roman" w:cs="Times New Roman"/>
          <w:sz w:val="28"/>
          <w:szCs w:val="28"/>
          <w:shd w:val="clear" w:color="auto" w:fill="FFFFFF"/>
          <w:lang w:val="en-US"/>
        </w:rPr>
        <w:t>. In the</w:t>
      </w:r>
      <w:r w:rsidRPr="0068182D">
        <w:rPr>
          <w:rStyle w:val="apple-converted-space"/>
          <w:rFonts w:ascii="Times New Roman" w:hAnsi="Times New Roman" w:cs="Times New Roman"/>
          <w:sz w:val="28"/>
          <w:szCs w:val="28"/>
          <w:shd w:val="clear" w:color="auto" w:fill="FFFFFF"/>
          <w:lang w:val="en-US"/>
        </w:rPr>
        <w:t> </w:t>
      </w:r>
      <w:hyperlink r:id="rId171" w:tooltip="Fiscal year" w:history="1">
        <w:r w:rsidRPr="0068182D">
          <w:rPr>
            <w:rStyle w:val="a5"/>
            <w:rFonts w:ascii="Times New Roman" w:hAnsi="Times New Roman" w:cs="Times New Roman"/>
            <w:color w:val="auto"/>
            <w:sz w:val="28"/>
            <w:szCs w:val="28"/>
            <w:u w:val="none"/>
            <w:shd w:val="clear" w:color="auto" w:fill="FFFFFF"/>
            <w:lang w:val="en-US"/>
          </w:rPr>
          <w:t>fiscal year</w:t>
        </w:r>
      </w:hyperlink>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2014–15, total government revenue was forecast to be £648 billion, or 37.7 per cent of</w:t>
      </w:r>
      <w:r w:rsidRPr="0068182D">
        <w:rPr>
          <w:rStyle w:val="apple-converted-space"/>
          <w:rFonts w:ascii="Times New Roman" w:hAnsi="Times New Roman" w:cs="Times New Roman"/>
          <w:sz w:val="28"/>
          <w:szCs w:val="28"/>
          <w:shd w:val="clear" w:color="auto" w:fill="FFFFFF"/>
          <w:lang w:val="en-US"/>
        </w:rPr>
        <w:t> </w:t>
      </w:r>
      <w:hyperlink r:id="rId172" w:tooltip="Gross domestic product" w:history="1">
        <w:r w:rsidRPr="0068182D">
          <w:rPr>
            <w:rStyle w:val="a5"/>
            <w:rFonts w:ascii="Times New Roman" w:hAnsi="Times New Roman" w:cs="Times New Roman"/>
            <w:color w:val="auto"/>
            <w:sz w:val="28"/>
            <w:szCs w:val="28"/>
            <w:u w:val="none"/>
            <w:shd w:val="clear" w:color="auto" w:fill="FFFFFF"/>
            <w:lang w:val="en-US"/>
          </w:rPr>
          <w:t>GDP</w:t>
        </w:r>
      </w:hyperlink>
      <w:r w:rsidRPr="0068182D">
        <w:rPr>
          <w:rFonts w:ascii="Times New Roman" w:hAnsi="Times New Roman" w:cs="Times New Roman"/>
          <w:sz w:val="28"/>
          <w:szCs w:val="28"/>
          <w:shd w:val="clear" w:color="auto" w:fill="FFFFFF"/>
          <w:lang w:val="en-US"/>
        </w:rPr>
        <w:t>, with net taxes and National Insurance contributions standing</w:t>
      </w:r>
      <w:r w:rsidRPr="0068182D">
        <w:rPr>
          <w:rFonts w:ascii="Times New Roman" w:hAnsi="Times New Roman" w:cs="Times New Roman"/>
          <w:color w:val="252525"/>
          <w:sz w:val="28"/>
          <w:szCs w:val="28"/>
          <w:shd w:val="clear" w:color="auto" w:fill="FFFFFF"/>
          <w:lang w:val="en-US"/>
        </w:rPr>
        <w:t xml:space="preserve"> at £606 billion.</w:t>
      </w:r>
    </w:p>
    <w:p w:rsidR="000F0E3B" w:rsidRPr="0068182D" w:rsidRDefault="000F0E3B" w:rsidP="000F0E3B">
      <w:pPr>
        <w:spacing w:after="0" w:line="240" w:lineRule="auto"/>
        <w:jc w:val="both"/>
        <w:rPr>
          <w:rFonts w:ascii="Times New Roman" w:hAnsi="Times New Roman" w:cs="Times New Roman"/>
          <w:color w:val="252525"/>
          <w:sz w:val="28"/>
          <w:szCs w:val="28"/>
          <w:shd w:val="clear" w:color="auto" w:fill="FFFFFF"/>
          <w:lang w:val="en-US"/>
        </w:rPr>
      </w:pPr>
    </w:p>
    <w:p w:rsidR="000F0E3B" w:rsidRPr="0068182D" w:rsidRDefault="000F0E3B" w:rsidP="000F0E3B">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Main types of tax in the UK</w:t>
      </w:r>
    </w:p>
    <w:p w:rsidR="000F0E3B" w:rsidRPr="0068182D" w:rsidRDefault="000F0E3B" w:rsidP="000537F4">
      <w:pPr>
        <w:numPr>
          <w:ilvl w:val="0"/>
          <w:numId w:val="40"/>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Income tax – This a tax on people’s income. The basic rate of income tax is 20%, paid on income over the income tax threshold of £10,400.</w:t>
      </w:r>
    </w:p>
    <w:p w:rsidR="000F0E3B" w:rsidRPr="0068182D" w:rsidRDefault="000F0E3B" w:rsidP="000537F4">
      <w:pPr>
        <w:numPr>
          <w:ilvl w:val="0"/>
          <w:numId w:val="40"/>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National insurance contributions. Another type of income tax is national insurance contributions, which are based on a similar principle of taking a certain percentage of income.</w:t>
      </w:r>
    </w:p>
    <w:p w:rsidR="000F0E3B" w:rsidRPr="0068182D" w:rsidRDefault="000F0E3B" w:rsidP="000537F4">
      <w:pPr>
        <w:numPr>
          <w:ilvl w:val="0"/>
          <w:numId w:val="40"/>
        </w:numPr>
        <w:shd w:val="clear" w:color="auto" w:fill="FFFFFF"/>
        <w:spacing w:after="0" w:line="240" w:lineRule="auto"/>
        <w:ind w:left="0" w:firstLine="567"/>
        <w:jc w:val="both"/>
        <w:rPr>
          <w:rFonts w:ascii="Times New Roman" w:hAnsi="Times New Roman" w:cs="Times New Roman"/>
          <w:sz w:val="28"/>
          <w:szCs w:val="28"/>
        </w:rPr>
      </w:pPr>
      <w:r w:rsidRPr="0068182D">
        <w:rPr>
          <w:rFonts w:ascii="Times New Roman" w:hAnsi="Times New Roman" w:cs="Times New Roman"/>
          <w:sz w:val="28"/>
          <w:szCs w:val="28"/>
        </w:rPr>
        <w:t>Consumption tax –  VAT – 17.5%</w:t>
      </w:r>
    </w:p>
    <w:p w:rsidR="000F0E3B" w:rsidRPr="0068182D" w:rsidRDefault="000F0E3B" w:rsidP="000537F4">
      <w:pPr>
        <w:numPr>
          <w:ilvl w:val="0"/>
          <w:numId w:val="40"/>
        </w:numPr>
        <w:shd w:val="clear" w:color="auto" w:fill="FFFFFF"/>
        <w:spacing w:after="0" w:line="240" w:lineRule="auto"/>
        <w:ind w:left="0" w:firstLine="567"/>
        <w:jc w:val="both"/>
        <w:rPr>
          <w:rFonts w:ascii="Times New Roman" w:hAnsi="Times New Roman" w:cs="Times New Roman"/>
          <w:sz w:val="28"/>
          <w:szCs w:val="28"/>
        </w:rPr>
      </w:pPr>
      <w:r w:rsidRPr="0068182D">
        <w:rPr>
          <w:rFonts w:ascii="Times New Roman" w:hAnsi="Times New Roman" w:cs="Times New Roman"/>
          <w:sz w:val="28"/>
          <w:szCs w:val="28"/>
        </w:rPr>
        <w:t>Excise duties on alcohol, tobacco</w:t>
      </w:r>
    </w:p>
    <w:p w:rsidR="000F0E3B" w:rsidRPr="0068182D" w:rsidRDefault="000F0E3B" w:rsidP="000537F4">
      <w:pPr>
        <w:numPr>
          <w:ilvl w:val="0"/>
          <w:numId w:val="40"/>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Corporation tax – tax on company profit</w:t>
      </w:r>
    </w:p>
    <w:p w:rsidR="000F0E3B" w:rsidRPr="0068182D" w:rsidRDefault="00CD577A" w:rsidP="000537F4">
      <w:pPr>
        <w:numPr>
          <w:ilvl w:val="0"/>
          <w:numId w:val="40"/>
        </w:numPr>
        <w:shd w:val="clear" w:color="auto" w:fill="FFFFFF"/>
        <w:spacing w:after="0" w:line="240" w:lineRule="auto"/>
        <w:ind w:left="0" w:firstLine="567"/>
        <w:jc w:val="both"/>
        <w:rPr>
          <w:rFonts w:ascii="Times New Roman" w:hAnsi="Times New Roman" w:cs="Times New Roman"/>
          <w:sz w:val="28"/>
          <w:szCs w:val="28"/>
          <w:lang w:val="en-US"/>
        </w:rPr>
      </w:pPr>
      <w:hyperlink r:id="rId173" w:history="1">
        <w:r w:rsidR="000F0E3B" w:rsidRPr="0068182D">
          <w:rPr>
            <w:rFonts w:ascii="Times New Roman" w:hAnsi="Times New Roman" w:cs="Times New Roman"/>
            <w:sz w:val="28"/>
            <w:szCs w:val="28"/>
            <w:lang w:val="en-US"/>
          </w:rPr>
          <w:t>Stamp duty</w:t>
        </w:r>
      </w:hyperlink>
      <w:r w:rsidR="000F0E3B" w:rsidRPr="0068182D">
        <w:rPr>
          <w:rFonts w:ascii="Times New Roman" w:hAnsi="Times New Roman" w:cs="Times New Roman"/>
          <w:sz w:val="28"/>
          <w:szCs w:val="28"/>
          <w:lang w:val="en-US"/>
        </w:rPr>
        <w:t> – tax on buying houses / shares</w:t>
      </w:r>
    </w:p>
    <w:p w:rsidR="000F0E3B" w:rsidRPr="0068182D" w:rsidRDefault="000F0E3B" w:rsidP="000F0E3B">
      <w:pPr>
        <w:pStyle w:val="a4"/>
        <w:shd w:val="clear" w:color="auto" w:fill="FFFFFF"/>
        <w:spacing w:after="0" w:line="240" w:lineRule="auto"/>
        <w:ind w:left="567"/>
        <w:jc w:val="both"/>
        <w:rPr>
          <w:rFonts w:ascii="Times New Roman" w:hAnsi="Times New Roman" w:cs="Times New Roman"/>
          <w:b/>
          <w:bCs/>
          <w:sz w:val="28"/>
          <w:szCs w:val="28"/>
          <w:lang w:val="en-US"/>
        </w:rPr>
      </w:pPr>
    </w:p>
    <w:p w:rsidR="000F0E3B" w:rsidRPr="0068182D" w:rsidRDefault="000F0E3B" w:rsidP="000F0E3B">
      <w:pPr>
        <w:pStyle w:val="a4"/>
        <w:shd w:val="clear" w:color="auto" w:fill="FFFFFF"/>
        <w:spacing w:after="0" w:line="240" w:lineRule="auto"/>
        <w:ind w:left="567"/>
        <w:jc w:val="both"/>
        <w:rPr>
          <w:rFonts w:ascii="Times New Roman" w:hAnsi="Times New Roman" w:cs="Times New Roman"/>
          <w:sz w:val="28"/>
          <w:szCs w:val="28"/>
          <w:lang w:val="en-US"/>
        </w:rPr>
      </w:pPr>
      <w:r w:rsidRPr="0068182D">
        <w:rPr>
          <w:rFonts w:ascii="Times New Roman" w:hAnsi="Times New Roman" w:cs="Times New Roman"/>
          <w:b/>
          <w:bCs/>
          <w:sz w:val="28"/>
          <w:szCs w:val="28"/>
          <w:lang w:val="en-US"/>
        </w:rPr>
        <w:t>Income tax rates in the UK</w:t>
      </w:r>
    </w:p>
    <w:tbl>
      <w:tblPr>
        <w:tblW w:w="9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2132"/>
        <w:gridCol w:w="7654"/>
      </w:tblGrid>
      <w:tr w:rsidR="000F0E3B" w:rsidRPr="008E2EAF" w:rsidTr="00FF2DA0">
        <w:tc>
          <w:tcPr>
            <w:tcW w:w="2132" w:type="dxa"/>
            <w:shd w:val="clear" w:color="auto" w:fill="FFFFFF"/>
            <w:tcMar>
              <w:top w:w="0" w:type="dxa"/>
              <w:left w:w="0" w:type="dxa"/>
              <w:bottom w:w="0" w:type="dxa"/>
              <w:right w:w="0" w:type="dxa"/>
            </w:tcMar>
            <w:vAlign w:val="center"/>
            <w:hideMark/>
          </w:tcPr>
          <w:p w:rsidR="000F0E3B" w:rsidRPr="0068182D" w:rsidRDefault="000F0E3B" w:rsidP="000F0E3B">
            <w:pPr>
              <w:spacing w:after="0" w:line="240" w:lineRule="auto"/>
              <w:jc w:val="both"/>
              <w:rPr>
                <w:rFonts w:ascii="Times New Roman" w:hAnsi="Times New Roman" w:cs="Times New Roman"/>
                <w:color w:val="3D454A"/>
                <w:sz w:val="28"/>
                <w:szCs w:val="28"/>
              </w:rPr>
            </w:pPr>
            <w:r w:rsidRPr="0068182D">
              <w:rPr>
                <w:rFonts w:ascii="Times New Roman" w:hAnsi="Times New Roman" w:cs="Times New Roman"/>
                <w:color w:val="3D454A"/>
                <w:sz w:val="28"/>
                <w:szCs w:val="28"/>
              </w:rPr>
              <w:t>Basic rate 20%</w:t>
            </w:r>
          </w:p>
        </w:tc>
        <w:tc>
          <w:tcPr>
            <w:tcW w:w="7654" w:type="dxa"/>
            <w:shd w:val="clear" w:color="auto" w:fill="FFFFFF"/>
            <w:tcMar>
              <w:top w:w="0" w:type="dxa"/>
              <w:left w:w="0" w:type="dxa"/>
              <w:bottom w:w="0" w:type="dxa"/>
              <w:right w:w="0" w:type="dxa"/>
            </w:tcMar>
            <w:vAlign w:val="center"/>
            <w:hideMark/>
          </w:tcPr>
          <w:p w:rsidR="000F0E3B" w:rsidRPr="0068182D" w:rsidRDefault="000F0E3B" w:rsidP="000F0E3B">
            <w:pPr>
              <w:spacing w:after="0" w:line="240" w:lineRule="auto"/>
              <w:jc w:val="both"/>
              <w:rPr>
                <w:rFonts w:ascii="Times New Roman" w:hAnsi="Times New Roman" w:cs="Times New Roman"/>
                <w:color w:val="3D454A"/>
                <w:sz w:val="28"/>
                <w:szCs w:val="28"/>
                <w:lang w:val="en-US"/>
              </w:rPr>
            </w:pPr>
            <w:r w:rsidRPr="0068182D">
              <w:rPr>
                <w:rFonts w:ascii="Times New Roman" w:hAnsi="Times New Roman" w:cs="Times New Roman"/>
                <w:color w:val="3D454A"/>
                <w:sz w:val="28"/>
                <w:szCs w:val="28"/>
                <w:lang w:val="en-US"/>
              </w:rPr>
              <w:t>£0 to £31,865</w:t>
            </w:r>
            <w:r w:rsidRPr="0068182D">
              <w:rPr>
                <w:rFonts w:ascii="Times New Roman" w:hAnsi="Times New Roman" w:cs="Times New Roman"/>
                <w:color w:val="3D454A"/>
                <w:sz w:val="28"/>
                <w:szCs w:val="28"/>
                <w:lang w:val="en-US"/>
              </w:rPr>
              <w:br/>
              <w:t>Most people start paying basic rate tax on income over £10,000</w:t>
            </w:r>
          </w:p>
        </w:tc>
      </w:tr>
      <w:tr w:rsidR="000F0E3B" w:rsidRPr="008E2EAF" w:rsidTr="00FF2DA0">
        <w:tc>
          <w:tcPr>
            <w:tcW w:w="2132" w:type="dxa"/>
            <w:shd w:val="clear" w:color="auto" w:fill="FFFFFF"/>
            <w:tcMar>
              <w:top w:w="0" w:type="dxa"/>
              <w:left w:w="0" w:type="dxa"/>
              <w:bottom w:w="0" w:type="dxa"/>
              <w:right w:w="0" w:type="dxa"/>
            </w:tcMar>
            <w:vAlign w:val="center"/>
            <w:hideMark/>
          </w:tcPr>
          <w:p w:rsidR="000F0E3B" w:rsidRPr="0068182D" w:rsidRDefault="000F0E3B" w:rsidP="000F0E3B">
            <w:pPr>
              <w:spacing w:after="0" w:line="240" w:lineRule="auto"/>
              <w:jc w:val="both"/>
              <w:rPr>
                <w:rFonts w:ascii="Times New Roman" w:hAnsi="Times New Roman" w:cs="Times New Roman"/>
                <w:color w:val="3D454A"/>
                <w:sz w:val="28"/>
                <w:szCs w:val="28"/>
              </w:rPr>
            </w:pPr>
            <w:r w:rsidRPr="0068182D">
              <w:rPr>
                <w:rFonts w:ascii="Times New Roman" w:hAnsi="Times New Roman" w:cs="Times New Roman"/>
                <w:color w:val="3D454A"/>
                <w:sz w:val="28"/>
                <w:szCs w:val="28"/>
              </w:rPr>
              <w:t>Higher rate 40%</w:t>
            </w:r>
          </w:p>
        </w:tc>
        <w:tc>
          <w:tcPr>
            <w:tcW w:w="7654" w:type="dxa"/>
            <w:shd w:val="clear" w:color="auto" w:fill="FFFFFF"/>
            <w:tcMar>
              <w:top w:w="0" w:type="dxa"/>
              <w:left w:w="0" w:type="dxa"/>
              <w:bottom w:w="0" w:type="dxa"/>
              <w:right w:w="0" w:type="dxa"/>
            </w:tcMar>
            <w:vAlign w:val="center"/>
            <w:hideMark/>
          </w:tcPr>
          <w:p w:rsidR="000F0E3B" w:rsidRPr="0068182D" w:rsidRDefault="000F0E3B" w:rsidP="000F0E3B">
            <w:pPr>
              <w:spacing w:after="0" w:line="240" w:lineRule="auto"/>
              <w:jc w:val="both"/>
              <w:rPr>
                <w:rFonts w:ascii="Times New Roman" w:hAnsi="Times New Roman" w:cs="Times New Roman"/>
                <w:color w:val="3D454A"/>
                <w:sz w:val="28"/>
                <w:szCs w:val="28"/>
                <w:lang w:val="en-US"/>
              </w:rPr>
            </w:pPr>
            <w:r w:rsidRPr="0068182D">
              <w:rPr>
                <w:rFonts w:ascii="Times New Roman" w:hAnsi="Times New Roman" w:cs="Times New Roman"/>
                <w:color w:val="3D454A"/>
                <w:sz w:val="28"/>
                <w:szCs w:val="28"/>
                <w:lang w:val="en-US"/>
              </w:rPr>
              <w:t>£31,866 to £150,000</w:t>
            </w:r>
            <w:r w:rsidRPr="0068182D">
              <w:rPr>
                <w:rFonts w:ascii="Times New Roman" w:hAnsi="Times New Roman" w:cs="Times New Roman"/>
                <w:color w:val="3D454A"/>
                <w:sz w:val="28"/>
                <w:szCs w:val="28"/>
                <w:lang w:val="en-US"/>
              </w:rPr>
              <w:br/>
              <w:t>Most people start paying higher rate tax on income over £41,865</w:t>
            </w:r>
          </w:p>
        </w:tc>
      </w:tr>
      <w:tr w:rsidR="000F0E3B" w:rsidRPr="0068182D" w:rsidTr="00FF2DA0">
        <w:tc>
          <w:tcPr>
            <w:tcW w:w="2132" w:type="dxa"/>
            <w:shd w:val="clear" w:color="auto" w:fill="FFFFFF"/>
            <w:tcMar>
              <w:top w:w="0" w:type="dxa"/>
              <w:left w:w="0" w:type="dxa"/>
              <w:bottom w:w="0" w:type="dxa"/>
              <w:right w:w="0" w:type="dxa"/>
            </w:tcMar>
            <w:vAlign w:val="center"/>
            <w:hideMark/>
          </w:tcPr>
          <w:p w:rsidR="000F0E3B" w:rsidRPr="0068182D" w:rsidRDefault="000F0E3B" w:rsidP="000F0E3B">
            <w:pPr>
              <w:spacing w:after="0" w:line="240" w:lineRule="auto"/>
              <w:jc w:val="both"/>
              <w:rPr>
                <w:rFonts w:ascii="Times New Roman" w:hAnsi="Times New Roman" w:cs="Times New Roman"/>
                <w:color w:val="3D454A"/>
                <w:sz w:val="28"/>
                <w:szCs w:val="28"/>
              </w:rPr>
            </w:pPr>
            <w:r w:rsidRPr="0068182D">
              <w:rPr>
                <w:rFonts w:ascii="Times New Roman" w:hAnsi="Times New Roman" w:cs="Times New Roman"/>
                <w:color w:val="3D454A"/>
                <w:sz w:val="28"/>
                <w:szCs w:val="28"/>
              </w:rPr>
              <w:t>Additional rate 45%</w:t>
            </w:r>
          </w:p>
        </w:tc>
        <w:tc>
          <w:tcPr>
            <w:tcW w:w="7654" w:type="dxa"/>
            <w:shd w:val="clear" w:color="auto" w:fill="FFFFFF"/>
            <w:tcMar>
              <w:top w:w="0" w:type="dxa"/>
              <w:left w:w="0" w:type="dxa"/>
              <w:bottom w:w="0" w:type="dxa"/>
              <w:right w:w="0" w:type="dxa"/>
            </w:tcMar>
            <w:vAlign w:val="center"/>
            <w:hideMark/>
          </w:tcPr>
          <w:p w:rsidR="000F0E3B" w:rsidRPr="0068182D" w:rsidRDefault="000F0E3B" w:rsidP="000F0E3B">
            <w:pPr>
              <w:spacing w:after="0" w:line="240" w:lineRule="auto"/>
              <w:jc w:val="both"/>
              <w:rPr>
                <w:rFonts w:ascii="Times New Roman" w:hAnsi="Times New Roman" w:cs="Times New Roman"/>
                <w:color w:val="3D454A"/>
                <w:sz w:val="28"/>
                <w:szCs w:val="28"/>
              </w:rPr>
            </w:pPr>
            <w:r w:rsidRPr="0068182D">
              <w:rPr>
                <w:rFonts w:ascii="Times New Roman" w:hAnsi="Times New Roman" w:cs="Times New Roman"/>
                <w:color w:val="3D454A"/>
                <w:sz w:val="28"/>
                <w:szCs w:val="28"/>
              </w:rPr>
              <w:t>Over £150,000</w:t>
            </w:r>
          </w:p>
        </w:tc>
      </w:tr>
    </w:tbl>
    <w:p w:rsidR="000F0E3B" w:rsidRPr="0068182D" w:rsidRDefault="000F0E3B" w:rsidP="000F0E3B">
      <w:pPr>
        <w:spacing w:after="0" w:line="240" w:lineRule="auto"/>
        <w:jc w:val="both"/>
        <w:rPr>
          <w:rFonts w:ascii="Times New Roman" w:hAnsi="Times New Roman" w:cs="Times New Roman"/>
          <w:sz w:val="28"/>
          <w:szCs w:val="28"/>
          <w:lang w:val="en-US"/>
        </w:rPr>
      </w:pPr>
    </w:p>
    <w:p w:rsidR="000F0E3B" w:rsidRPr="0068182D" w:rsidRDefault="000F0E3B" w:rsidP="000F0E3B">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noProof/>
          <w:sz w:val="28"/>
          <w:szCs w:val="28"/>
        </w:rPr>
        <w:drawing>
          <wp:inline distT="0" distB="0" distL="0" distR="0">
            <wp:extent cx="5924550" cy="2547257"/>
            <wp:effectExtent l="19050" t="0" r="0" b="0"/>
            <wp:docPr id="67" name="Рисунок 19" descr="tax-revenu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ax-revenue-sources"/>
                    <pic:cNvPicPr>
                      <a:picLocks noChangeAspect="1" noChangeArrowheads="1"/>
                    </pic:cNvPicPr>
                  </pic:nvPicPr>
                  <pic:blipFill>
                    <a:blip r:embed="rId174" cstate="print"/>
                    <a:srcRect/>
                    <a:stretch>
                      <a:fillRect/>
                    </a:stretch>
                  </pic:blipFill>
                  <pic:spPr bwMode="auto">
                    <a:xfrm>
                      <a:off x="0" y="0"/>
                      <a:ext cx="5929561" cy="2549411"/>
                    </a:xfrm>
                    <a:prstGeom prst="rect">
                      <a:avLst/>
                    </a:prstGeom>
                    <a:noFill/>
                    <a:ln w="9525">
                      <a:noFill/>
                      <a:miter lim="800000"/>
                      <a:headEnd/>
                      <a:tailEnd/>
                    </a:ln>
                  </pic:spPr>
                </pic:pic>
              </a:graphicData>
            </a:graphic>
          </wp:inline>
        </w:drawing>
      </w:r>
    </w:p>
    <w:p w:rsidR="000F0E3B" w:rsidRPr="009663D3" w:rsidRDefault="000F0E3B" w:rsidP="000F0E3B">
      <w:pPr>
        <w:pStyle w:val="3"/>
        <w:shd w:val="clear" w:color="auto" w:fill="FFFFFF"/>
        <w:spacing w:before="0" w:line="240" w:lineRule="auto"/>
        <w:jc w:val="both"/>
        <w:rPr>
          <w:rFonts w:ascii="Times New Roman" w:hAnsi="Times New Roman" w:cs="Times New Roman"/>
          <w:b w:val="0"/>
          <w:bCs w:val="0"/>
          <w:color w:val="auto"/>
          <w:sz w:val="28"/>
          <w:szCs w:val="28"/>
          <w:lang w:val="en-US"/>
        </w:rPr>
      </w:pPr>
      <w:r w:rsidRPr="009663D3">
        <w:rPr>
          <w:rFonts w:ascii="Times New Roman" w:hAnsi="Times New Roman" w:cs="Times New Roman"/>
          <w:color w:val="auto"/>
          <w:sz w:val="28"/>
          <w:szCs w:val="28"/>
          <w:lang w:val="en-US"/>
        </w:rPr>
        <w:tab/>
      </w:r>
      <w:r w:rsidRPr="009663D3">
        <w:rPr>
          <w:rFonts w:ascii="Times New Roman" w:hAnsi="Times New Roman" w:cs="Times New Roman"/>
          <w:b w:val="0"/>
          <w:bCs w:val="0"/>
          <w:color w:val="auto"/>
          <w:sz w:val="28"/>
          <w:szCs w:val="28"/>
          <w:lang w:val="en-US"/>
        </w:rPr>
        <w:t>How much is income tax?</w:t>
      </w:r>
    </w:p>
    <w:p w:rsidR="000F0E3B" w:rsidRPr="009663D3" w:rsidRDefault="000F0E3B" w:rsidP="000F0E3B">
      <w:pPr>
        <w:pStyle w:val="a6"/>
        <w:shd w:val="clear" w:color="auto" w:fill="FFFFFF"/>
        <w:spacing w:before="0" w:beforeAutospacing="0" w:after="0" w:afterAutospacing="0"/>
        <w:ind w:firstLine="708"/>
        <w:jc w:val="both"/>
        <w:rPr>
          <w:sz w:val="28"/>
          <w:szCs w:val="28"/>
          <w:lang w:val="en-US"/>
        </w:rPr>
      </w:pPr>
      <w:r w:rsidRPr="009663D3">
        <w:rPr>
          <w:sz w:val="28"/>
          <w:szCs w:val="28"/>
          <w:lang w:val="en-US"/>
        </w:rPr>
        <w:t>Example, if your income is £40,000 of taxable income</w:t>
      </w:r>
    </w:p>
    <w:p w:rsidR="000F0E3B" w:rsidRPr="009663D3" w:rsidRDefault="000F0E3B" w:rsidP="000537F4">
      <w:pPr>
        <w:numPr>
          <w:ilvl w:val="0"/>
          <w:numId w:val="41"/>
        </w:numPr>
        <w:shd w:val="clear" w:color="auto" w:fill="FFFFFF"/>
        <w:spacing w:after="0" w:line="240" w:lineRule="auto"/>
        <w:ind w:left="0" w:firstLine="851"/>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You pay 0% on your Personal Allowance of £10,000.</w:t>
      </w:r>
    </w:p>
    <w:p w:rsidR="000F0E3B" w:rsidRPr="009663D3" w:rsidRDefault="000F0E3B" w:rsidP="000537F4">
      <w:pPr>
        <w:numPr>
          <w:ilvl w:val="0"/>
          <w:numId w:val="41"/>
        </w:numPr>
        <w:shd w:val="clear" w:color="auto" w:fill="FFFFFF"/>
        <w:spacing w:after="0" w:line="240" w:lineRule="auto"/>
        <w:ind w:left="0" w:firstLine="851"/>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You pay 20% on the income from £10,000 to £31,866 (21,866) = £4,372.20</w:t>
      </w:r>
    </w:p>
    <w:p w:rsidR="000F0E3B" w:rsidRPr="009663D3" w:rsidRDefault="000F0E3B" w:rsidP="000537F4">
      <w:pPr>
        <w:numPr>
          <w:ilvl w:val="0"/>
          <w:numId w:val="41"/>
        </w:numPr>
        <w:shd w:val="clear" w:color="auto" w:fill="FFFFFF"/>
        <w:spacing w:after="0" w:line="240" w:lineRule="auto"/>
        <w:ind w:left="0" w:firstLine="851"/>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You pay 40% on income between £31,866 to £40,000  – £8,134 = £3,253</w:t>
      </w:r>
    </w:p>
    <w:p w:rsidR="000F0E3B" w:rsidRPr="009663D3" w:rsidRDefault="000F0E3B" w:rsidP="000537F4">
      <w:pPr>
        <w:numPr>
          <w:ilvl w:val="0"/>
          <w:numId w:val="41"/>
        </w:numPr>
        <w:shd w:val="clear" w:color="auto" w:fill="FFFFFF"/>
        <w:spacing w:after="0" w:line="240" w:lineRule="auto"/>
        <w:ind w:left="0" w:firstLine="851"/>
        <w:jc w:val="both"/>
        <w:rPr>
          <w:rFonts w:ascii="Times New Roman" w:hAnsi="Times New Roman" w:cs="Times New Roman"/>
          <w:sz w:val="28"/>
          <w:szCs w:val="28"/>
        </w:rPr>
      </w:pPr>
      <w:r w:rsidRPr="009663D3">
        <w:rPr>
          <w:rFonts w:ascii="Times New Roman" w:hAnsi="Times New Roman" w:cs="Times New Roman"/>
          <w:sz w:val="28"/>
          <w:szCs w:val="28"/>
        </w:rPr>
        <w:t>Total tax – £7,625</w:t>
      </w:r>
    </w:p>
    <w:p w:rsidR="000F0E3B" w:rsidRPr="009663D3" w:rsidRDefault="000F0E3B" w:rsidP="000537F4">
      <w:pPr>
        <w:numPr>
          <w:ilvl w:val="0"/>
          <w:numId w:val="41"/>
        </w:numPr>
        <w:shd w:val="clear" w:color="auto" w:fill="FFFFFF"/>
        <w:spacing w:after="0" w:line="240" w:lineRule="auto"/>
        <w:ind w:left="0" w:firstLine="851"/>
        <w:jc w:val="both"/>
        <w:rPr>
          <w:rFonts w:ascii="Times New Roman" w:hAnsi="Times New Roman" w:cs="Times New Roman"/>
          <w:sz w:val="28"/>
          <w:szCs w:val="28"/>
        </w:rPr>
      </w:pPr>
      <w:r w:rsidRPr="009663D3">
        <w:rPr>
          <w:rFonts w:ascii="Times New Roman" w:hAnsi="Times New Roman" w:cs="Times New Roman"/>
          <w:sz w:val="28"/>
          <w:szCs w:val="28"/>
        </w:rPr>
        <w:t>average tax rate 19%</w:t>
      </w:r>
    </w:p>
    <w:p w:rsidR="000F0E3B" w:rsidRPr="0068182D" w:rsidRDefault="000F0E3B" w:rsidP="000F0E3B">
      <w:pPr>
        <w:tabs>
          <w:tab w:val="left" w:pos="1026"/>
        </w:tabs>
        <w:spacing w:after="0" w:line="240" w:lineRule="auto"/>
        <w:jc w:val="both"/>
        <w:rPr>
          <w:rFonts w:ascii="Times New Roman" w:hAnsi="Times New Roman" w:cs="Times New Roman"/>
          <w:sz w:val="28"/>
          <w:szCs w:val="28"/>
          <w:lang w:val="en-US"/>
        </w:rPr>
      </w:pPr>
    </w:p>
    <w:p w:rsidR="000F0E3B" w:rsidRPr="0068182D" w:rsidRDefault="000F0E3B" w:rsidP="000F0E3B">
      <w:pPr>
        <w:tabs>
          <w:tab w:val="left" w:pos="2036"/>
        </w:tabs>
        <w:spacing w:after="0" w:line="240" w:lineRule="auto"/>
        <w:rPr>
          <w:rFonts w:ascii="Times New Roman" w:hAnsi="Times New Roman" w:cs="Times New Roman"/>
          <w:sz w:val="28"/>
          <w:szCs w:val="28"/>
          <w:lang w:val="en-US"/>
        </w:rPr>
      </w:pPr>
      <w:r w:rsidRPr="0068182D">
        <w:rPr>
          <w:rFonts w:ascii="Times New Roman" w:hAnsi="Times New Roman" w:cs="Times New Roman"/>
          <w:sz w:val="28"/>
          <w:szCs w:val="28"/>
          <w:lang w:val="en-US"/>
        </w:rPr>
        <w:tab/>
        <w:t>Control questions:</w:t>
      </w:r>
    </w:p>
    <w:p w:rsidR="000F0E3B" w:rsidRPr="0068182D" w:rsidRDefault="000F0E3B" w:rsidP="000F0E3B">
      <w:pPr>
        <w:tabs>
          <w:tab w:val="left" w:pos="180"/>
        </w:tabs>
        <w:spacing w:after="0" w:line="240" w:lineRule="auto"/>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1.</w:t>
      </w:r>
      <w:r w:rsidRPr="0068182D">
        <w:rPr>
          <w:rFonts w:ascii="Times New Roman" w:hAnsi="Times New Roman" w:cs="Times New Roman"/>
          <w:sz w:val="28"/>
          <w:szCs w:val="28"/>
          <w:lang w:val="en-US"/>
        </w:rPr>
        <w:t xml:space="preserve"> How did affect </w:t>
      </w:r>
      <w:r w:rsidRPr="0068182D">
        <w:rPr>
          <w:rStyle w:val="hps"/>
          <w:rFonts w:ascii="Times New Roman" w:hAnsi="Times New Roman" w:cs="Times New Roman"/>
          <w:sz w:val="28"/>
          <w:szCs w:val="28"/>
          <w:lang w:val="en-US"/>
        </w:rPr>
        <w:t>economic reforms</w:t>
      </w:r>
      <w:r w:rsidRPr="0068182D">
        <w:rPr>
          <w:rFonts w:ascii="Times New Roman" w:hAnsi="Times New Roman" w:cs="Times New Roman"/>
          <w:sz w:val="28"/>
          <w:szCs w:val="28"/>
          <w:lang w:val="en-US"/>
        </w:rPr>
        <w:t xml:space="preserve"> of </w:t>
      </w:r>
      <w:r w:rsidRPr="0068182D">
        <w:rPr>
          <w:rStyle w:val="hps"/>
          <w:rFonts w:ascii="Times New Roman" w:hAnsi="Times New Roman" w:cs="Times New Roman"/>
          <w:sz w:val="28"/>
          <w:szCs w:val="28"/>
          <w:lang w:val="en-US"/>
        </w:rPr>
        <w:t>the Government</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M.Teacher</w:t>
      </w:r>
    </w:p>
    <w:p w:rsidR="000F0E3B" w:rsidRPr="0068182D" w:rsidRDefault="000F0E3B" w:rsidP="000F0E3B">
      <w:pPr>
        <w:tabs>
          <w:tab w:val="left" w:pos="180"/>
        </w:tabs>
        <w:spacing w:after="0" w:line="240" w:lineRule="auto"/>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2. UK</w:t>
      </w:r>
      <w:r w:rsidRPr="0068182D">
        <w:rPr>
          <w:rFonts w:ascii="Times New Roman" w:hAnsi="Times New Roman" w:cs="Times New Roman"/>
          <w:sz w:val="28"/>
          <w:szCs w:val="28"/>
          <w:lang w:val="en-US"/>
        </w:rPr>
        <w:t xml:space="preserve"> bank</w:t>
      </w:r>
      <w:r w:rsidRPr="0068182D">
        <w:rPr>
          <w:rStyle w:val="hps"/>
          <w:rFonts w:ascii="Times New Roman" w:hAnsi="Times New Roman" w:cs="Times New Roman"/>
          <w:sz w:val="28"/>
          <w:szCs w:val="28"/>
          <w:lang w:val="en-US"/>
        </w:rPr>
        <w:t xml:space="preserve"> system</w:t>
      </w:r>
    </w:p>
    <w:p w:rsidR="000F0E3B" w:rsidRPr="0068182D" w:rsidRDefault="000F0E3B" w:rsidP="000F0E3B">
      <w:pPr>
        <w:spacing w:after="0" w:line="240" w:lineRule="auto"/>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3.</w:t>
      </w:r>
      <w:r w:rsidRPr="0068182D">
        <w:rPr>
          <w:rFonts w:ascii="Times New Roman" w:hAnsi="Times New Roman" w:cs="Times New Roman"/>
          <w:sz w:val="28"/>
          <w:szCs w:val="28"/>
          <w:lang w:val="en-US"/>
        </w:rPr>
        <w:t xml:space="preserve"> Main taxes in</w:t>
      </w:r>
      <w:r w:rsidRPr="0068182D">
        <w:rPr>
          <w:rStyle w:val="hps"/>
          <w:rFonts w:ascii="Times New Roman" w:hAnsi="Times New Roman" w:cs="Times New Roman"/>
          <w:sz w:val="28"/>
          <w:szCs w:val="28"/>
          <w:lang w:val="en-US"/>
        </w:rPr>
        <w:t xml:space="preserve"> UK</w:t>
      </w:r>
      <w:r w:rsidRPr="0068182D">
        <w:rPr>
          <w:rFonts w:ascii="Times New Roman" w:hAnsi="Times New Roman" w:cs="Times New Roman"/>
          <w:sz w:val="28"/>
          <w:szCs w:val="28"/>
          <w:lang w:val="en-US"/>
        </w:rPr>
        <w:t>.</w:t>
      </w:r>
    </w:p>
    <w:p w:rsidR="000F0E3B" w:rsidRPr="0068182D" w:rsidRDefault="000F0E3B" w:rsidP="00606F59">
      <w:pPr>
        <w:tabs>
          <w:tab w:val="left" w:pos="180"/>
        </w:tabs>
        <w:spacing w:after="0" w:line="240" w:lineRule="auto"/>
        <w:ind w:left="567" w:firstLine="567"/>
        <w:jc w:val="center"/>
        <w:rPr>
          <w:rStyle w:val="hps"/>
          <w:rFonts w:ascii="Times New Roman" w:hAnsi="Times New Roman" w:cs="Times New Roman"/>
          <w:sz w:val="28"/>
          <w:szCs w:val="28"/>
          <w:lang w:val="en-US"/>
        </w:rPr>
      </w:pPr>
    </w:p>
    <w:p w:rsidR="000F0E3B" w:rsidRPr="0068182D" w:rsidRDefault="000F0E3B" w:rsidP="00606F59">
      <w:pPr>
        <w:tabs>
          <w:tab w:val="left" w:pos="180"/>
        </w:tabs>
        <w:spacing w:after="0" w:line="240" w:lineRule="auto"/>
        <w:ind w:left="567" w:firstLine="567"/>
        <w:jc w:val="center"/>
        <w:rPr>
          <w:rStyle w:val="hps"/>
          <w:rFonts w:ascii="Times New Roman" w:hAnsi="Times New Roman" w:cs="Times New Roman"/>
          <w:sz w:val="28"/>
          <w:szCs w:val="28"/>
          <w:lang w:val="en-US"/>
        </w:rPr>
      </w:pPr>
    </w:p>
    <w:p w:rsidR="00606F59" w:rsidRPr="0068182D" w:rsidRDefault="00606F59" w:rsidP="00606F59">
      <w:pPr>
        <w:tabs>
          <w:tab w:val="left" w:pos="180"/>
        </w:tabs>
        <w:spacing w:after="0" w:line="240" w:lineRule="auto"/>
        <w:ind w:left="567" w:firstLine="567"/>
        <w:jc w:val="center"/>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Theme 8.</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Features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Canada's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financial system</w:t>
      </w:r>
    </w:p>
    <w:p w:rsidR="00732CDE" w:rsidRPr="0068182D" w:rsidRDefault="00732CDE" w:rsidP="00606F59">
      <w:pPr>
        <w:tabs>
          <w:tab w:val="left" w:pos="180"/>
        </w:tabs>
        <w:spacing w:after="0" w:line="240" w:lineRule="auto"/>
        <w:ind w:firstLine="567"/>
        <w:jc w:val="both"/>
        <w:rPr>
          <w:rStyle w:val="hps"/>
          <w:rFonts w:ascii="Times New Roman" w:hAnsi="Times New Roman" w:cs="Times New Roman"/>
          <w:sz w:val="28"/>
          <w:szCs w:val="28"/>
          <w:lang w:val="en-US"/>
        </w:rPr>
      </w:pPr>
    </w:p>
    <w:p w:rsidR="00606F59" w:rsidRPr="0068182D" w:rsidRDefault="00606F59" w:rsidP="000537F4">
      <w:pPr>
        <w:pStyle w:val="a4"/>
        <w:numPr>
          <w:ilvl w:val="0"/>
          <w:numId w:val="39"/>
        </w:numPr>
        <w:tabs>
          <w:tab w:val="left" w:pos="180"/>
          <w:tab w:val="left" w:pos="993"/>
        </w:tabs>
        <w:spacing w:after="0" w:line="240" w:lineRule="auto"/>
        <w:ind w:left="567" w:firstLine="0"/>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content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factors of development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Canadian economy</w:t>
      </w:r>
    </w:p>
    <w:p w:rsidR="00606F59" w:rsidRPr="0068182D" w:rsidRDefault="00606F59" w:rsidP="000537F4">
      <w:pPr>
        <w:pStyle w:val="a4"/>
        <w:numPr>
          <w:ilvl w:val="0"/>
          <w:numId w:val="39"/>
        </w:numPr>
        <w:tabs>
          <w:tab w:val="left" w:pos="180"/>
          <w:tab w:val="left" w:pos="993"/>
        </w:tabs>
        <w:spacing w:after="0" w:line="240" w:lineRule="auto"/>
        <w:ind w:left="567" w:firstLine="0"/>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composition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financial system</w:t>
      </w:r>
      <w:r w:rsidRPr="0068182D">
        <w:rPr>
          <w:rFonts w:ascii="Times New Roman" w:hAnsi="Times New Roman" w:cs="Times New Roman"/>
          <w:b/>
          <w:sz w:val="28"/>
          <w:szCs w:val="28"/>
          <w:lang w:val="en-US"/>
        </w:rPr>
        <w:t>.</w:t>
      </w:r>
    </w:p>
    <w:p w:rsidR="00606F59" w:rsidRPr="0068182D" w:rsidRDefault="00606F59" w:rsidP="000537F4">
      <w:pPr>
        <w:pStyle w:val="a4"/>
        <w:numPr>
          <w:ilvl w:val="0"/>
          <w:numId w:val="39"/>
        </w:numPr>
        <w:tabs>
          <w:tab w:val="left" w:pos="993"/>
        </w:tabs>
        <w:spacing w:after="0" w:line="240" w:lineRule="auto"/>
        <w:ind w:left="567" w:firstLine="0"/>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Special funds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state,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federal budget</w:t>
      </w:r>
    </w:p>
    <w:p w:rsidR="00606F59" w:rsidRPr="0068182D" w:rsidRDefault="00606F59" w:rsidP="000537F4">
      <w:pPr>
        <w:pStyle w:val="a4"/>
        <w:numPr>
          <w:ilvl w:val="0"/>
          <w:numId w:val="39"/>
        </w:numPr>
        <w:shd w:val="clear" w:color="auto" w:fill="FFFFFF"/>
        <w:tabs>
          <w:tab w:val="left" w:pos="993"/>
        </w:tabs>
        <w:spacing w:after="0" w:line="240" w:lineRule="auto"/>
        <w:ind w:left="567" w:firstLine="0"/>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budgets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provinces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territories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budgets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local authorities</w:t>
      </w:r>
      <w:r w:rsidRPr="0068182D">
        <w:rPr>
          <w:rFonts w:ascii="Times New Roman" w:hAnsi="Times New Roman" w:cs="Times New Roman"/>
          <w:b/>
          <w:sz w:val="28"/>
          <w:szCs w:val="28"/>
          <w:lang w:val="en-US"/>
        </w:rPr>
        <w:t>.</w:t>
      </w:r>
    </w:p>
    <w:p w:rsidR="00606F59" w:rsidRPr="0068182D" w:rsidRDefault="00606F59" w:rsidP="000537F4">
      <w:pPr>
        <w:pStyle w:val="a4"/>
        <w:numPr>
          <w:ilvl w:val="0"/>
          <w:numId w:val="39"/>
        </w:numPr>
        <w:shd w:val="clear" w:color="auto" w:fill="FFFFFF"/>
        <w:tabs>
          <w:tab w:val="left" w:pos="993"/>
        </w:tabs>
        <w:spacing w:after="0" w:line="240" w:lineRule="auto"/>
        <w:ind w:left="567" w:firstLine="0"/>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system of intergovernmental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transfers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their features</w:t>
      </w:r>
    </w:p>
    <w:p w:rsidR="00606F59" w:rsidRPr="0068182D" w:rsidRDefault="00606F59" w:rsidP="000537F4">
      <w:pPr>
        <w:pStyle w:val="a4"/>
        <w:numPr>
          <w:ilvl w:val="0"/>
          <w:numId w:val="39"/>
        </w:numPr>
        <w:tabs>
          <w:tab w:val="left" w:pos="993"/>
        </w:tabs>
        <w:spacing w:after="0" w:line="240" w:lineRule="auto"/>
        <w:ind w:left="567" w:firstLine="0"/>
        <w:jc w:val="both"/>
        <w:rPr>
          <w:rFonts w:ascii="Times New Roman" w:hAnsi="Times New Roman" w:cs="Times New Roman"/>
          <w:b/>
          <w:spacing w:val="3"/>
          <w:sz w:val="28"/>
          <w:szCs w:val="28"/>
          <w:lang w:val="en-US"/>
        </w:rPr>
      </w:pPr>
      <w:r w:rsidRPr="0068182D">
        <w:rPr>
          <w:rStyle w:val="hps"/>
          <w:rFonts w:ascii="Times New Roman" w:hAnsi="Times New Roman" w:cs="Times New Roman"/>
          <w:b/>
          <w:sz w:val="28"/>
          <w:szCs w:val="28"/>
          <w:lang w:val="en-US"/>
        </w:rPr>
        <w:t>Taxation in Canada</w:t>
      </w:r>
      <w:r w:rsidRPr="0068182D">
        <w:rPr>
          <w:rFonts w:ascii="Times New Roman" w:hAnsi="Times New Roman" w:cs="Times New Roman"/>
          <w:b/>
          <w:sz w:val="28"/>
          <w:szCs w:val="28"/>
          <w:lang w:val="en-US"/>
        </w:rPr>
        <w:t xml:space="preserve">: composition, </w:t>
      </w:r>
      <w:r w:rsidRPr="0068182D">
        <w:rPr>
          <w:rStyle w:val="hps"/>
          <w:rFonts w:ascii="Times New Roman" w:hAnsi="Times New Roman" w:cs="Times New Roman"/>
          <w:b/>
          <w:sz w:val="28"/>
          <w:szCs w:val="28"/>
          <w:lang w:val="en-US"/>
        </w:rPr>
        <w:t>specificity,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 the main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types of taxes</w:t>
      </w:r>
      <w:r w:rsidRPr="0068182D">
        <w:rPr>
          <w:rFonts w:ascii="Times New Roman" w:hAnsi="Times New Roman" w:cs="Times New Roman"/>
          <w:b/>
          <w:spacing w:val="3"/>
          <w:sz w:val="28"/>
          <w:szCs w:val="28"/>
          <w:lang w:val="en-US"/>
        </w:rPr>
        <w:t>.</w:t>
      </w:r>
    </w:p>
    <w:p w:rsidR="00606F59" w:rsidRPr="0068182D" w:rsidRDefault="00606F59" w:rsidP="00606F59">
      <w:pPr>
        <w:spacing w:after="0" w:line="240" w:lineRule="auto"/>
        <w:ind w:firstLine="567"/>
        <w:jc w:val="both"/>
        <w:rPr>
          <w:rFonts w:ascii="Times New Roman" w:hAnsi="Times New Roman" w:cs="Times New Roman"/>
          <w:sz w:val="28"/>
          <w:szCs w:val="28"/>
          <w:lang w:val="en-US"/>
        </w:rPr>
      </w:pPr>
    </w:p>
    <w:p w:rsidR="00606F59" w:rsidRPr="0068182D" w:rsidRDefault="00606F59" w:rsidP="00606F59">
      <w:pPr>
        <w:tabs>
          <w:tab w:val="left" w:pos="180"/>
        </w:tabs>
        <w:spacing w:after="0" w:line="240" w:lineRule="auto"/>
        <w:ind w:firstLine="567"/>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1.</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content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factors of development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Canadian economy</w:t>
      </w:r>
    </w:p>
    <w:p w:rsidR="00606F59" w:rsidRPr="0068182D" w:rsidRDefault="00CD577A" w:rsidP="00606F59">
      <w:pPr>
        <w:spacing w:after="0" w:line="240" w:lineRule="auto"/>
        <w:ind w:firstLine="567"/>
        <w:jc w:val="both"/>
        <w:rPr>
          <w:rFonts w:ascii="Times New Roman" w:hAnsi="Times New Roman" w:cs="Times New Roman"/>
          <w:sz w:val="28"/>
          <w:szCs w:val="28"/>
          <w:shd w:val="clear" w:color="auto" w:fill="FFFFFF"/>
          <w:lang w:val="en-US"/>
        </w:rPr>
      </w:pPr>
      <w:hyperlink r:id="rId175" w:tooltip="Canada" w:history="1">
        <w:r w:rsidR="00606F59" w:rsidRPr="0068182D">
          <w:rPr>
            <w:rStyle w:val="a5"/>
            <w:rFonts w:ascii="Times New Roman" w:hAnsi="Times New Roman" w:cs="Times New Roman"/>
            <w:color w:val="auto"/>
            <w:sz w:val="28"/>
            <w:szCs w:val="28"/>
            <w:u w:val="none"/>
            <w:shd w:val="clear" w:color="auto" w:fill="FFFFFF"/>
            <w:lang w:val="en-US"/>
          </w:rPr>
          <w:t>Canada</w:t>
        </w:r>
      </w:hyperlink>
      <w:r w:rsidR="00606F59" w:rsidRPr="0068182D">
        <w:rPr>
          <w:rStyle w:val="apple-converted-space"/>
          <w:rFonts w:ascii="Times New Roman" w:hAnsi="Times New Roman" w:cs="Times New Roman"/>
          <w:sz w:val="28"/>
          <w:szCs w:val="28"/>
          <w:shd w:val="clear" w:color="auto" w:fill="FFFFFF"/>
          <w:lang w:val="en-US"/>
        </w:rPr>
        <w:t> </w:t>
      </w:r>
      <w:r w:rsidR="00606F59" w:rsidRPr="0068182D">
        <w:rPr>
          <w:rFonts w:ascii="Times New Roman" w:hAnsi="Times New Roman" w:cs="Times New Roman"/>
          <w:sz w:val="28"/>
          <w:szCs w:val="28"/>
          <w:shd w:val="clear" w:color="auto" w:fill="FFFFFF"/>
          <w:lang w:val="en-US"/>
        </w:rPr>
        <w:t>has the</w:t>
      </w:r>
      <w:r w:rsidR="00606F59" w:rsidRPr="0068182D">
        <w:rPr>
          <w:rStyle w:val="apple-converted-space"/>
          <w:rFonts w:ascii="Times New Roman" w:hAnsi="Times New Roman" w:cs="Times New Roman"/>
          <w:sz w:val="28"/>
          <w:szCs w:val="28"/>
          <w:shd w:val="clear" w:color="auto" w:fill="FFFFFF"/>
          <w:lang w:val="en-US"/>
        </w:rPr>
        <w:t> </w:t>
      </w:r>
      <w:hyperlink r:id="rId176" w:tooltip="List of countries by GDP (nominal)" w:history="1">
        <w:r w:rsidR="00606F59" w:rsidRPr="0068182D">
          <w:rPr>
            <w:rStyle w:val="a5"/>
            <w:rFonts w:ascii="Times New Roman" w:hAnsi="Times New Roman" w:cs="Times New Roman"/>
            <w:color w:val="auto"/>
            <w:sz w:val="28"/>
            <w:szCs w:val="28"/>
            <w:u w:val="none"/>
            <w:shd w:val="clear" w:color="auto" w:fill="FFFFFF"/>
            <w:lang w:val="en-US"/>
          </w:rPr>
          <w:t>10th</w:t>
        </w:r>
      </w:hyperlink>
      <w:r w:rsidR="00606F59" w:rsidRPr="0068182D">
        <w:rPr>
          <w:rStyle w:val="apple-converted-space"/>
          <w:rFonts w:ascii="Times New Roman" w:hAnsi="Times New Roman" w:cs="Times New Roman"/>
          <w:sz w:val="28"/>
          <w:szCs w:val="28"/>
          <w:shd w:val="clear" w:color="auto" w:fill="FFFFFF"/>
          <w:lang w:val="en-US"/>
        </w:rPr>
        <w:t> </w:t>
      </w:r>
      <w:r w:rsidR="00606F59" w:rsidRPr="0068182D">
        <w:rPr>
          <w:rFonts w:ascii="Times New Roman" w:hAnsi="Times New Roman" w:cs="Times New Roman"/>
          <w:sz w:val="28"/>
          <w:szCs w:val="28"/>
          <w:shd w:val="clear" w:color="auto" w:fill="FFFFFF"/>
          <w:lang w:val="en-US"/>
        </w:rPr>
        <w:t>(nominal) or</w:t>
      </w:r>
      <w:r w:rsidR="00606F59" w:rsidRPr="0068182D">
        <w:rPr>
          <w:rStyle w:val="apple-converted-space"/>
          <w:rFonts w:ascii="Times New Roman" w:hAnsi="Times New Roman" w:cs="Times New Roman"/>
          <w:sz w:val="28"/>
          <w:szCs w:val="28"/>
          <w:shd w:val="clear" w:color="auto" w:fill="FFFFFF"/>
          <w:lang w:val="en-US"/>
        </w:rPr>
        <w:t> </w:t>
      </w:r>
      <w:hyperlink r:id="rId177" w:tooltip="List of countries by GDP (PPP)" w:history="1">
        <w:r w:rsidR="00606F59" w:rsidRPr="0068182D">
          <w:rPr>
            <w:rStyle w:val="a5"/>
            <w:rFonts w:ascii="Times New Roman" w:hAnsi="Times New Roman" w:cs="Times New Roman"/>
            <w:color w:val="auto"/>
            <w:sz w:val="28"/>
            <w:szCs w:val="28"/>
            <w:u w:val="none"/>
            <w:shd w:val="clear" w:color="auto" w:fill="FFFFFF"/>
            <w:lang w:val="en-US"/>
          </w:rPr>
          <w:t>15th-largest</w:t>
        </w:r>
      </w:hyperlink>
      <w:r w:rsidR="00606F59" w:rsidRPr="0068182D">
        <w:rPr>
          <w:rStyle w:val="apple-converted-space"/>
          <w:rFonts w:ascii="Times New Roman" w:hAnsi="Times New Roman" w:cs="Times New Roman"/>
          <w:sz w:val="28"/>
          <w:szCs w:val="28"/>
          <w:shd w:val="clear" w:color="auto" w:fill="FFFFFF"/>
          <w:lang w:val="en-US"/>
        </w:rPr>
        <w:t> </w:t>
      </w:r>
      <w:r w:rsidR="00606F59" w:rsidRPr="0068182D">
        <w:rPr>
          <w:rFonts w:ascii="Times New Roman" w:hAnsi="Times New Roman" w:cs="Times New Roman"/>
          <w:sz w:val="28"/>
          <w:szCs w:val="28"/>
          <w:shd w:val="clear" w:color="auto" w:fill="FFFFFF"/>
          <w:lang w:val="en-US"/>
        </w:rPr>
        <w:t>(PPP) economy in the world (measured in US dollars at market exchange rates), is one of the world's wealthiest nations, and is a member of the</w:t>
      </w:r>
      <w:r w:rsidR="00606F59" w:rsidRPr="0068182D">
        <w:rPr>
          <w:rStyle w:val="apple-converted-space"/>
          <w:rFonts w:ascii="Times New Roman" w:hAnsi="Times New Roman" w:cs="Times New Roman"/>
          <w:sz w:val="28"/>
          <w:szCs w:val="28"/>
          <w:shd w:val="clear" w:color="auto" w:fill="FFFFFF"/>
          <w:lang w:val="en-US"/>
        </w:rPr>
        <w:t> </w:t>
      </w:r>
      <w:hyperlink r:id="rId178" w:tooltip="Organisation for Economic Co-operation and Development" w:history="1">
        <w:r w:rsidR="00606F59" w:rsidRPr="0068182D">
          <w:rPr>
            <w:rStyle w:val="a5"/>
            <w:rFonts w:ascii="Times New Roman" w:hAnsi="Times New Roman" w:cs="Times New Roman"/>
            <w:color w:val="auto"/>
            <w:sz w:val="28"/>
            <w:szCs w:val="28"/>
            <w:u w:val="none"/>
            <w:shd w:val="clear" w:color="auto" w:fill="FFFFFF"/>
            <w:lang w:val="en-US"/>
          </w:rPr>
          <w:t>Organization for Economic Co-operation and Development</w:t>
        </w:r>
      </w:hyperlink>
      <w:r w:rsidR="00606F59" w:rsidRPr="0068182D">
        <w:rPr>
          <w:rStyle w:val="apple-converted-space"/>
          <w:rFonts w:ascii="Times New Roman" w:hAnsi="Times New Roman" w:cs="Times New Roman"/>
          <w:sz w:val="28"/>
          <w:szCs w:val="28"/>
          <w:shd w:val="clear" w:color="auto" w:fill="FFFFFF"/>
          <w:lang w:val="en-US"/>
        </w:rPr>
        <w:t> </w:t>
      </w:r>
      <w:r w:rsidR="00606F59" w:rsidRPr="0068182D">
        <w:rPr>
          <w:rFonts w:ascii="Times New Roman" w:hAnsi="Times New Roman" w:cs="Times New Roman"/>
          <w:sz w:val="28"/>
          <w:szCs w:val="28"/>
          <w:shd w:val="clear" w:color="auto" w:fill="FFFFFF"/>
          <w:lang w:val="en-US"/>
        </w:rPr>
        <w:t>(OECD) and</w:t>
      </w:r>
      <w:r w:rsidR="00606F59" w:rsidRPr="0068182D">
        <w:rPr>
          <w:rStyle w:val="apple-converted-space"/>
          <w:rFonts w:ascii="Times New Roman" w:hAnsi="Times New Roman" w:cs="Times New Roman"/>
          <w:sz w:val="28"/>
          <w:szCs w:val="28"/>
          <w:shd w:val="clear" w:color="auto" w:fill="FFFFFF"/>
          <w:lang w:val="en-US"/>
        </w:rPr>
        <w:t> </w:t>
      </w:r>
      <w:hyperlink r:id="rId179" w:tooltip="G7" w:history="1">
        <w:r w:rsidR="00606F59" w:rsidRPr="0068182D">
          <w:rPr>
            <w:rStyle w:val="a5"/>
            <w:rFonts w:ascii="Times New Roman" w:hAnsi="Times New Roman" w:cs="Times New Roman"/>
            <w:color w:val="auto"/>
            <w:sz w:val="28"/>
            <w:szCs w:val="28"/>
            <w:u w:val="none"/>
            <w:shd w:val="clear" w:color="auto" w:fill="FFFFFF"/>
            <w:lang w:val="en-US"/>
          </w:rPr>
          <w:t>Group of Seven</w:t>
        </w:r>
      </w:hyperlink>
      <w:r w:rsidR="00606F59" w:rsidRPr="0068182D">
        <w:rPr>
          <w:rStyle w:val="apple-converted-space"/>
          <w:rFonts w:ascii="Times New Roman" w:hAnsi="Times New Roman" w:cs="Times New Roman"/>
          <w:sz w:val="28"/>
          <w:szCs w:val="28"/>
          <w:shd w:val="clear" w:color="auto" w:fill="FFFFFF"/>
          <w:lang w:val="en-US"/>
        </w:rPr>
        <w:t> </w:t>
      </w:r>
      <w:r w:rsidR="00606F59" w:rsidRPr="0068182D">
        <w:rPr>
          <w:rFonts w:ascii="Times New Roman" w:hAnsi="Times New Roman" w:cs="Times New Roman"/>
          <w:sz w:val="28"/>
          <w:szCs w:val="28"/>
          <w:shd w:val="clear" w:color="auto" w:fill="FFFFFF"/>
          <w:lang w:val="en-US"/>
        </w:rPr>
        <w:t>(G7). As with other developed nations, the Canadian economy is dominated by the</w:t>
      </w:r>
      <w:r w:rsidR="00606F59" w:rsidRPr="0068182D">
        <w:rPr>
          <w:rStyle w:val="apple-converted-space"/>
          <w:rFonts w:ascii="Times New Roman" w:hAnsi="Times New Roman" w:cs="Times New Roman"/>
          <w:sz w:val="28"/>
          <w:szCs w:val="28"/>
          <w:shd w:val="clear" w:color="auto" w:fill="FFFFFF"/>
          <w:lang w:val="en-US"/>
        </w:rPr>
        <w:t> </w:t>
      </w:r>
      <w:hyperlink r:id="rId180" w:tooltip="Tertiary sector of industry" w:history="1">
        <w:r w:rsidR="00606F59" w:rsidRPr="0068182D">
          <w:rPr>
            <w:rStyle w:val="a5"/>
            <w:rFonts w:ascii="Times New Roman" w:hAnsi="Times New Roman" w:cs="Times New Roman"/>
            <w:color w:val="auto"/>
            <w:sz w:val="28"/>
            <w:szCs w:val="28"/>
            <w:u w:val="none"/>
            <w:shd w:val="clear" w:color="auto" w:fill="FFFFFF"/>
            <w:lang w:val="en-US"/>
          </w:rPr>
          <w:t>service industry</w:t>
        </w:r>
      </w:hyperlink>
      <w:r w:rsidR="00606F59" w:rsidRPr="0068182D">
        <w:rPr>
          <w:rFonts w:ascii="Times New Roman" w:hAnsi="Times New Roman" w:cs="Times New Roman"/>
          <w:sz w:val="28"/>
          <w:szCs w:val="28"/>
          <w:shd w:val="clear" w:color="auto" w:fill="FFFFFF"/>
          <w:lang w:val="en-US"/>
        </w:rPr>
        <w:t>, which employs about three quarters of</w:t>
      </w:r>
      <w:r w:rsidR="00606F59" w:rsidRPr="0068182D">
        <w:rPr>
          <w:rStyle w:val="apple-converted-space"/>
          <w:rFonts w:ascii="Times New Roman" w:hAnsi="Times New Roman" w:cs="Times New Roman"/>
          <w:sz w:val="28"/>
          <w:szCs w:val="28"/>
          <w:shd w:val="clear" w:color="auto" w:fill="FFFFFF"/>
          <w:lang w:val="en-US"/>
        </w:rPr>
        <w:t> </w:t>
      </w:r>
      <w:hyperlink r:id="rId181" w:tooltip="Canadians" w:history="1">
        <w:r w:rsidR="00606F59" w:rsidRPr="0068182D">
          <w:rPr>
            <w:rStyle w:val="a5"/>
            <w:rFonts w:ascii="Times New Roman" w:hAnsi="Times New Roman" w:cs="Times New Roman"/>
            <w:color w:val="auto"/>
            <w:sz w:val="28"/>
            <w:szCs w:val="28"/>
            <w:u w:val="none"/>
            <w:shd w:val="clear" w:color="auto" w:fill="FFFFFF"/>
            <w:lang w:val="en-US"/>
          </w:rPr>
          <w:t>Canadians</w:t>
        </w:r>
      </w:hyperlink>
      <w:r w:rsidR="00606F59" w:rsidRPr="0068182D">
        <w:rPr>
          <w:rFonts w:ascii="Times New Roman" w:hAnsi="Times New Roman" w:cs="Times New Roman"/>
          <w:sz w:val="28"/>
          <w:szCs w:val="28"/>
          <w:shd w:val="clear" w:color="auto" w:fill="FFFFFF"/>
          <w:lang w:val="en-US"/>
        </w:rPr>
        <w:t>.</w:t>
      </w:r>
      <w:hyperlink r:id="rId182" w:anchor="cite_note-17" w:history="1"/>
      <w:r w:rsidR="00606F59" w:rsidRPr="0068182D">
        <w:rPr>
          <w:rStyle w:val="apple-converted-space"/>
          <w:rFonts w:ascii="Times New Roman" w:hAnsi="Times New Roman" w:cs="Times New Roman"/>
          <w:sz w:val="28"/>
          <w:szCs w:val="28"/>
          <w:shd w:val="clear" w:color="auto" w:fill="FFFFFF"/>
          <w:lang w:val="en-US"/>
        </w:rPr>
        <w:t> </w:t>
      </w:r>
      <w:r w:rsidR="00606F59" w:rsidRPr="0068182D">
        <w:rPr>
          <w:rFonts w:ascii="Times New Roman" w:hAnsi="Times New Roman" w:cs="Times New Roman"/>
          <w:sz w:val="28"/>
          <w:szCs w:val="28"/>
          <w:shd w:val="clear" w:color="auto" w:fill="FFFFFF"/>
          <w:lang w:val="en-US"/>
        </w:rPr>
        <w:t>Canada is unusual among developed countries in the importance of the</w:t>
      </w:r>
      <w:r w:rsidR="00606F59" w:rsidRPr="0068182D">
        <w:rPr>
          <w:rStyle w:val="apple-converted-space"/>
          <w:rFonts w:ascii="Times New Roman" w:hAnsi="Times New Roman" w:cs="Times New Roman"/>
          <w:sz w:val="28"/>
          <w:szCs w:val="28"/>
          <w:shd w:val="clear" w:color="auto" w:fill="FFFFFF"/>
          <w:lang w:val="en-US"/>
        </w:rPr>
        <w:t> </w:t>
      </w:r>
      <w:hyperlink r:id="rId183" w:tooltip="Primary sector of industry" w:history="1">
        <w:r w:rsidR="00606F59" w:rsidRPr="0068182D">
          <w:rPr>
            <w:rStyle w:val="a5"/>
            <w:rFonts w:ascii="Times New Roman" w:hAnsi="Times New Roman" w:cs="Times New Roman"/>
            <w:color w:val="auto"/>
            <w:sz w:val="28"/>
            <w:szCs w:val="28"/>
            <w:u w:val="none"/>
            <w:shd w:val="clear" w:color="auto" w:fill="FFFFFF"/>
            <w:lang w:val="en-US"/>
          </w:rPr>
          <w:t>primary sector</w:t>
        </w:r>
      </w:hyperlink>
      <w:r w:rsidR="00606F59" w:rsidRPr="0068182D">
        <w:rPr>
          <w:rFonts w:ascii="Times New Roman" w:hAnsi="Times New Roman" w:cs="Times New Roman"/>
          <w:sz w:val="28"/>
          <w:szCs w:val="28"/>
          <w:shd w:val="clear" w:color="auto" w:fill="FFFFFF"/>
          <w:lang w:val="en-US"/>
        </w:rPr>
        <w:t>, with the</w:t>
      </w:r>
      <w:r w:rsidR="00606F59" w:rsidRPr="0068182D">
        <w:rPr>
          <w:rStyle w:val="apple-converted-space"/>
          <w:rFonts w:ascii="Times New Roman" w:hAnsi="Times New Roman" w:cs="Times New Roman"/>
          <w:sz w:val="28"/>
          <w:szCs w:val="28"/>
          <w:shd w:val="clear" w:color="auto" w:fill="FFFFFF"/>
          <w:lang w:val="en-US"/>
        </w:rPr>
        <w:t> </w:t>
      </w:r>
      <w:hyperlink r:id="rId184" w:tooltip="Logging" w:history="1">
        <w:r w:rsidR="00606F59" w:rsidRPr="0068182D">
          <w:rPr>
            <w:rStyle w:val="a5"/>
            <w:rFonts w:ascii="Times New Roman" w:hAnsi="Times New Roman" w:cs="Times New Roman"/>
            <w:color w:val="auto"/>
            <w:sz w:val="28"/>
            <w:szCs w:val="28"/>
            <w:u w:val="none"/>
            <w:shd w:val="clear" w:color="auto" w:fill="FFFFFF"/>
            <w:lang w:val="en-US"/>
          </w:rPr>
          <w:t>logging</w:t>
        </w:r>
      </w:hyperlink>
      <w:r w:rsidR="00606F59" w:rsidRPr="0068182D">
        <w:rPr>
          <w:rStyle w:val="apple-converted-space"/>
          <w:rFonts w:ascii="Times New Roman" w:hAnsi="Times New Roman" w:cs="Times New Roman"/>
          <w:sz w:val="28"/>
          <w:szCs w:val="28"/>
          <w:shd w:val="clear" w:color="auto" w:fill="FFFFFF"/>
          <w:lang w:val="en-US"/>
        </w:rPr>
        <w:t> </w:t>
      </w:r>
      <w:r w:rsidR="00606F59" w:rsidRPr="0068182D">
        <w:rPr>
          <w:rFonts w:ascii="Times New Roman" w:hAnsi="Times New Roman" w:cs="Times New Roman"/>
          <w:sz w:val="28"/>
          <w:szCs w:val="28"/>
          <w:shd w:val="clear" w:color="auto" w:fill="FFFFFF"/>
          <w:lang w:val="en-US"/>
        </w:rPr>
        <w:t>and</w:t>
      </w:r>
      <w:r w:rsidR="00606F59" w:rsidRPr="0068182D">
        <w:rPr>
          <w:rStyle w:val="apple-converted-space"/>
          <w:rFonts w:ascii="Times New Roman" w:hAnsi="Times New Roman" w:cs="Times New Roman"/>
          <w:sz w:val="28"/>
          <w:szCs w:val="28"/>
          <w:shd w:val="clear" w:color="auto" w:fill="FFFFFF"/>
          <w:lang w:val="en-US"/>
        </w:rPr>
        <w:t> </w:t>
      </w:r>
      <w:hyperlink r:id="rId185" w:tooltip="Petroleum" w:history="1">
        <w:r w:rsidR="00606F59" w:rsidRPr="0068182D">
          <w:rPr>
            <w:rStyle w:val="a5"/>
            <w:rFonts w:ascii="Times New Roman" w:hAnsi="Times New Roman" w:cs="Times New Roman"/>
            <w:color w:val="auto"/>
            <w:sz w:val="28"/>
            <w:szCs w:val="28"/>
            <w:u w:val="none"/>
            <w:shd w:val="clear" w:color="auto" w:fill="FFFFFF"/>
            <w:lang w:val="en-US"/>
          </w:rPr>
          <w:t>oil</w:t>
        </w:r>
      </w:hyperlink>
      <w:r w:rsidR="00606F59" w:rsidRPr="0068182D">
        <w:rPr>
          <w:rStyle w:val="apple-converted-space"/>
          <w:rFonts w:ascii="Times New Roman" w:hAnsi="Times New Roman" w:cs="Times New Roman"/>
          <w:sz w:val="28"/>
          <w:szCs w:val="28"/>
          <w:shd w:val="clear" w:color="auto" w:fill="FFFFFF"/>
          <w:lang w:val="en-US"/>
        </w:rPr>
        <w:t> </w:t>
      </w:r>
      <w:r w:rsidR="00606F59" w:rsidRPr="0068182D">
        <w:rPr>
          <w:rFonts w:ascii="Times New Roman" w:hAnsi="Times New Roman" w:cs="Times New Roman"/>
          <w:sz w:val="28"/>
          <w:szCs w:val="28"/>
          <w:shd w:val="clear" w:color="auto" w:fill="FFFFFF"/>
          <w:lang w:val="en-US"/>
        </w:rPr>
        <w:t>industries being two of Canada's most important. Canada also has a sizable manufacturing sector, based in</w:t>
      </w:r>
      <w:r w:rsidR="00606F59" w:rsidRPr="0068182D">
        <w:rPr>
          <w:rStyle w:val="apple-converted-space"/>
          <w:rFonts w:ascii="Times New Roman" w:hAnsi="Times New Roman" w:cs="Times New Roman"/>
          <w:sz w:val="28"/>
          <w:szCs w:val="28"/>
          <w:shd w:val="clear" w:color="auto" w:fill="FFFFFF"/>
          <w:lang w:val="en-US"/>
        </w:rPr>
        <w:t> </w:t>
      </w:r>
      <w:hyperlink r:id="rId186" w:tooltip="Central Canada" w:history="1">
        <w:r w:rsidR="00606F59" w:rsidRPr="0068182D">
          <w:rPr>
            <w:rStyle w:val="a5"/>
            <w:rFonts w:ascii="Times New Roman" w:hAnsi="Times New Roman" w:cs="Times New Roman"/>
            <w:color w:val="auto"/>
            <w:sz w:val="28"/>
            <w:szCs w:val="28"/>
            <w:u w:val="none"/>
            <w:shd w:val="clear" w:color="auto" w:fill="FFFFFF"/>
            <w:lang w:val="en-US"/>
          </w:rPr>
          <w:t>Central Canada</w:t>
        </w:r>
      </w:hyperlink>
      <w:r w:rsidR="00606F59" w:rsidRPr="0068182D">
        <w:rPr>
          <w:rFonts w:ascii="Times New Roman" w:hAnsi="Times New Roman" w:cs="Times New Roman"/>
          <w:sz w:val="28"/>
          <w:szCs w:val="28"/>
          <w:shd w:val="clear" w:color="auto" w:fill="FFFFFF"/>
          <w:lang w:val="en-US"/>
        </w:rPr>
        <w:t>, with the</w:t>
      </w:r>
      <w:r w:rsidR="00606F59" w:rsidRPr="0068182D">
        <w:rPr>
          <w:rStyle w:val="apple-converted-space"/>
          <w:rFonts w:ascii="Times New Roman" w:hAnsi="Times New Roman" w:cs="Times New Roman"/>
          <w:sz w:val="28"/>
          <w:szCs w:val="28"/>
          <w:shd w:val="clear" w:color="auto" w:fill="FFFFFF"/>
          <w:lang w:val="en-US"/>
        </w:rPr>
        <w:t> </w:t>
      </w:r>
      <w:hyperlink r:id="rId187" w:tooltip="Automaker" w:history="1">
        <w:r w:rsidR="00606F59" w:rsidRPr="0068182D">
          <w:rPr>
            <w:rStyle w:val="a5"/>
            <w:rFonts w:ascii="Times New Roman" w:hAnsi="Times New Roman" w:cs="Times New Roman"/>
            <w:color w:val="auto"/>
            <w:sz w:val="28"/>
            <w:szCs w:val="28"/>
            <w:u w:val="none"/>
            <w:shd w:val="clear" w:color="auto" w:fill="FFFFFF"/>
            <w:lang w:val="en-US"/>
          </w:rPr>
          <w:t>automobile industry</w:t>
        </w:r>
      </w:hyperlink>
      <w:r w:rsidR="00606F59" w:rsidRPr="0068182D">
        <w:rPr>
          <w:rStyle w:val="apple-converted-space"/>
          <w:rFonts w:ascii="Times New Roman" w:hAnsi="Times New Roman" w:cs="Times New Roman"/>
          <w:sz w:val="28"/>
          <w:szCs w:val="28"/>
          <w:shd w:val="clear" w:color="auto" w:fill="FFFFFF"/>
          <w:lang w:val="en-US"/>
        </w:rPr>
        <w:t> </w:t>
      </w:r>
      <w:r w:rsidR="00606F59" w:rsidRPr="0068182D">
        <w:rPr>
          <w:rFonts w:ascii="Times New Roman" w:hAnsi="Times New Roman" w:cs="Times New Roman"/>
          <w:sz w:val="28"/>
          <w:szCs w:val="28"/>
          <w:shd w:val="clear" w:color="auto" w:fill="FFFFFF"/>
          <w:lang w:val="en-US"/>
        </w:rPr>
        <w:t>and</w:t>
      </w:r>
      <w:r w:rsidR="00606F59" w:rsidRPr="0068182D">
        <w:rPr>
          <w:rStyle w:val="apple-converted-space"/>
          <w:rFonts w:ascii="Times New Roman" w:hAnsi="Times New Roman" w:cs="Times New Roman"/>
          <w:sz w:val="28"/>
          <w:szCs w:val="28"/>
          <w:shd w:val="clear" w:color="auto" w:fill="FFFFFF"/>
          <w:lang w:val="en-US"/>
        </w:rPr>
        <w:t> </w:t>
      </w:r>
      <w:hyperlink r:id="rId188" w:tooltip="Aircraft industry" w:history="1">
        <w:r w:rsidR="00606F59" w:rsidRPr="0068182D">
          <w:rPr>
            <w:rStyle w:val="a5"/>
            <w:rFonts w:ascii="Times New Roman" w:hAnsi="Times New Roman" w:cs="Times New Roman"/>
            <w:color w:val="auto"/>
            <w:sz w:val="28"/>
            <w:szCs w:val="28"/>
            <w:u w:val="none"/>
            <w:shd w:val="clear" w:color="auto" w:fill="FFFFFF"/>
            <w:lang w:val="en-US"/>
          </w:rPr>
          <w:t>aircraft industry</w:t>
        </w:r>
      </w:hyperlink>
      <w:r w:rsidR="00606F59" w:rsidRPr="0068182D">
        <w:rPr>
          <w:rStyle w:val="apple-converted-space"/>
          <w:rFonts w:ascii="Times New Roman" w:hAnsi="Times New Roman" w:cs="Times New Roman"/>
          <w:sz w:val="28"/>
          <w:szCs w:val="28"/>
          <w:shd w:val="clear" w:color="auto" w:fill="FFFFFF"/>
          <w:lang w:val="en-US"/>
        </w:rPr>
        <w:t> </w:t>
      </w:r>
      <w:r w:rsidR="00606F59" w:rsidRPr="0068182D">
        <w:rPr>
          <w:rFonts w:ascii="Times New Roman" w:hAnsi="Times New Roman" w:cs="Times New Roman"/>
          <w:sz w:val="28"/>
          <w:szCs w:val="28"/>
          <w:shd w:val="clear" w:color="auto" w:fill="FFFFFF"/>
          <w:lang w:val="en-US"/>
        </w:rPr>
        <w:t>being especially important. With a long coastline, Canada has the 8th largest commercial fishing and seafood industry in the world.</w:t>
      </w:r>
      <w:r w:rsidR="00606F59" w:rsidRPr="0068182D">
        <w:rPr>
          <w:rStyle w:val="apple-converted-space"/>
          <w:rFonts w:ascii="Times New Roman" w:hAnsi="Times New Roman" w:cs="Times New Roman"/>
          <w:sz w:val="28"/>
          <w:szCs w:val="28"/>
          <w:shd w:val="clear" w:color="auto" w:fill="FFFFFF"/>
          <w:lang w:val="en-US"/>
        </w:rPr>
        <w:t> </w:t>
      </w:r>
      <w:r w:rsidR="00606F59" w:rsidRPr="0068182D">
        <w:rPr>
          <w:rFonts w:ascii="Times New Roman" w:hAnsi="Times New Roman" w:cs="Times New Roman"/>
          <w:sz w:val="28"/>
          <w:szCs w:val="28"/>
          <w:shd w:val="clear" w:color="auto" w:fill="FFFFFF"/>
          <w:lang w:val="en-US"/>
        </w:rPr>
        <w:t>Canada is one of the global leaders of the entertainment</w:t>
      </w:r>
      <w:r w:rsidR="00606F59" w:rsidRPr="0068182D">
        <w:rPr>
          <w:rStyle w:val="apple-converted-space"/>
          <w:rFonts w:ascii="Times New Roman" w:hAnsi="Times New Roman" w:cs="Times New Roman"/>
          <w:sz w:val="28"/>
          <w:szCs w:val="28"/>
          <w:shd w:val="clear" w:color="auto" w:fill="FFFFFF"/>
          <w:lang w:val="en-US"/>
        </w:rPr>
        <w:t> </w:t>
      </w:r>
      <w:hyperlink r:id="rId189" w:tooltip="Software industry" w:history="1">
        <w:r w:rsidR="00606F59" w:rsidRPr="0068182D">
          <w:rPr>
            <w:rStyle w:val="a5"/>
            <w:rFonts w:ascii="Times New Roman" w:hAnsi="Times New Roman" w:cs="Times New Roman"/>
            <w:color w:val="auto"/>
            <w:sz w:val="28"/>
            <w:szCs w:val="28"/>
            <w:u w:val="none"/>
            <w:shd w:val="clear" w:color="auto" w:fill="FFFFFF"/>
            <w:lang w:val="en-US"/>
          </w:rPr>
          <w:t>software industry</w:t>
        </w:r>
      </w:hyperlink>
      <w:r w:rsidR="00606F59" w:rsidRPr="0068182D">
        <w:rPr>
          <w:rFonts w:ascii="Times New Roman" w:hAnsi="Times New Roman" w:cs="Times New Roman"/>
          <w:sz w:val="28"/>
          <w:szCs w:val="28"/>
          <w:shd w:val="clear" w:color="auto" w:fill="FFFFFF"/>
          <w:lang w:val="en-US"/>
        </w:rPr>
        <w:t>.</w:t>
      </w:r>
    </w:p>
    <w:p w:rsidR="00606F59" w:rsidRPr="0068182D" w:rsidRDefault="00606F59" w:rsidP="00606F59">
      <w:pPr>
        <w:spacing w:after="0" w:line="240" w:lineRule="auto"/>
        <w:ind w:firstLine="567"/>
        <w:jc w:val="both"/>
        <w:rPr>
          <w:rFonts w:ascii="Times New Roman" w:hAnsi="Times New Roman" w:cs="Times New Roman"/>
          <w:sz w:val="28"/>
          <w:szCs w:val="28"/>
          <w:shd w:val="clear" w:color="auto" w:fill="FFFFFF"/>
          <w:lang w:val="en-US"/>
        </w:rPr>
      </w:pPr>
      <w:r w:rsidRPr="0068182D">
        <w:rPr>
          <w:rFonts w:ascii="Times New Roman" w:hAnsi="Times New Roman" w:cs="Times New Roman"/>
          <w:sz w:val="28"/>
          <w:szCs w:val="28"/>
          <w:shd w:val="clear" w:color="auto" w:fill="FFFFFF"/>
          <w:lang w:val="en-US"/>
        </w:rPr>
        <w:t>Today Canada closely resembles the U.S. in its market-oriented economic system and pattern of production.</w:t>
      </w:r>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As of February 2013, Canada's national unemployment rate stood at 7.0%,</w:t>
      </w:r>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as the economy continues its recovery from the effects of the</w:t>
      </w:r>
      <w:r w:rsidRPr="0068182D">
        <w:rPr>
          <w:rStyle w:val="apple-converted-space"/>
          <w:rFonts w:ascii="Times New Roman" w:hAnsi="Times New Roman" w:cs="Times New Roman"/>
          <w:sz w:val="28"/>
          <w:szCs w:val="28"/>
          <w:shd w:val="clear" w:color="auto" w:fill="FFFFFF"/>
          <w:lang w:val="en-US"/>
        </w:rPr>
        <w:t> </w:t>
      </w:r>
      <w:hyperlink r:id="rId190" w:tooltip="Financial crisis of 2007–08" w:history="1">
        <w:r w:rsidRPr="0068182D">
          <w:rPr>
            <w:rStyle w:val="a5"/>
            <w:rFonts w:ascii="Times New Roman" w:hAnsi="Times New Roman" w:cs="Times New Roman"/>
            <w:color w:val="auto"/>
            <w:sz w:val="28"/>
            <w:szCs w:val="28"/>
            <w:u w:val="none"/>
            <w:shd w:val="clear" w:color="auto" w:fill="FFFFFF"/>
            <w:lang w:val="en-US"/>
          </w:rPr>
          <w:t>financial crisis of 2007–08</w:t>
        </w:r>
      </w:hyperlink>
      <w:r w:rsidRPr="0068182D">
        <w:rPr>
          <w:rFonts w:ascii="Times New Roman" w:hAnsi="Times New Roman" w:cs="Times New Roman"/>
          <w:sz w:val="28"/>
          <w:szCs w:val="28"/>
          <w:shd w:val="clear" w:color="auto" w:fill="FFFFFF"/>
          <w:lang w:val="en-US"/>
        </w:rPr>
        <w:t>. In May 2010, provincial unemployment rates varied from a low of 5.0% in</w:t>
      </w:r>
      <w:r w:rsidRPr="0068182D">
        <w:rPr>
          <w:rStyle w:val="apple-converted-space"/>
          <w:rFonts w:ascii="Times New Roman" w:hAnsi="Times New Roman" w:cs="Times New Roman"/>
          <w:sz w:val="28"/>
          <w:szCs w:val="28"/>
          <w:shd w:val="clear" w:color="auto" w:fill="FFFFFF"/>
          <w:lang w:val="en-US"/>
        </w:rPr>
        <w:t> </w:t>
      </w:r>
      <w:hyperlink r:id="rId191" w:tooltip="Saskatchewan" w:history="1">
        <w:r w:rsidRPr="0068182D">
          <w:rPr>
            <w:rStyle w:val="a5"/>
            <w:rFonts w:ascii="Times New Roman" w:hAnsi="Times New Roman" w:cs="Times New Roman"/>
            <w:color w:val="auto"/>
            <w:sz w:val="28"/>
            <w:szCs w:val="28"/>
            <w:u w:val="none"/>
            <w:shd w:val="clear" w:color="auto" w:fill="FFFFFF"/>
            <w:lang w:val="en-US"/>
          </w:rPr>
          <w:t>Saskatchewan</w:t>
        </w:r>
      </w:hyperlink>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to a high of 13.8% in</w:t>
      </w:r>
      <w:r w:rsidRPr="0068182D">
        <w:rPr>
          <w:rStyle w:val="apple-converted-space"/>
          <w:rFonts w:ascii="Times New Roman" w:hAnsi="Times New Roman" w:cs="Times New Roman"/>
          <w:sz w:val="28"/>
          <w:szCs w:val="28"/>
          <w:shd w:val="clear" w:color="auto" w:fill="FFFFFF"/>
          <w:lang w:val="en-US"/>
        </w:rPr>
        <w:t> </w:t>
      </w:r>
      <w:hyperlink r:id="rId192" w:tooltip="Newfoundland and Labrador" w:history="1">
        <w:r w:rsidRPr="0068182D">
          <w:rPr>
            <w:rStyle w:val="a5"/>
            <w:rFonts w:ascii="Times New Roman" w:hAnsi="Times New Roman" w:cs="Times New Roman"/>
            <w:color w:val="auto"/>
            <w:sz w:val="28"/>
            <w:szCs w:val="28"/>
            <w:u w:val="none"/>
            <w:shd w:val="clear" w:color="auto" w:fill="FFFFFF"/>
            <w:lang w:val="en-US"/>
          </w:rPr>
          <w:t>Newfoundland and Labrador</w:t>
        </w:r>
      </w:hyperlink>
      <w:r w:rsidRPr="0068182D">
        <w:rPr>
          <w:rFonts w:ascii="Times New Roman" w:hAnsi="Times New Roman" w:cs="Times New Roman"/>
          <w:sz w:val="28"/>
          <w:szCs w:val="28"/>
          <w:shd w:val="clear" w:color="auto" w:fill="FFFFFF"/>
          <w:lang w:val="en-US"/>
        </w:rPr>
        <w:t>.</w:t>
      </w:r>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According to the Forbes Global 2000 list of the world's largest companies in 2008, Canada has 69 companies in the list, ranking 5th next to France.</w:t>
      </w:r>
    </w:p>
    <w:p w:rsidR="00606F59" w:rsidRPr="0068182D" w:rsidRDefault="00CD577A" w:rsidP="00606F59">
      <w:pPr>
        <w:pStyle w:val="a6"/>
        <w:shd w:val="clear" w:color="auto" w:fill="FFFFFF"/>
        <w:spacing w:before="0" w:beforeAutospacing="0" w:after="0" w:afterAutospacing="0"/>
        <w:ind w:firstLine="567"/>
        <w:jc w:val="both"/>
        <w:rPr>
          <w:sz w:val="28"/>
          <w:szCs w:val="28"/>
          <w:lang w:val="en-US"/>
        </w:rPr>
      </w:pPr>
      <w:hyperlink r:id="rId193" w:tooltip="International trade" w:history="1">
        <w:r w:rsidR="00606F59" w:rsidRPr="0068182D">
          <w:rPr>
            <w:rStyle w:val="a5"/>
            <w:rFonts w:eastAsiaTheme="majorEastAsia"/>
            <w:color w:val="auto"/>
            <w:sz w:val="28"/>
            <w:szCs w:val="28"/>
            <w:u w:val="none"/>
            <w:lang w:val="en-US"/>
          </w:rPr>
          <w:t>International trade</w:t>
        </w:r>
      </w:hyperlink>
      <w:r w:rsidR="00606F59" w:rsidRPr="0068182D">
        <w:rPr>
          <w:rStyle w:val="apple-converted-space"/>
          <w:sz w:val="28"/>
          <w:szCs w:val="28"/>
          <w:lang w:val="en-US"/>
        </w:rPr>
        <w:t> </w:t>
      </w:r>
      <w:r w:rsidR="00606F59" w:rsidRPr="0068182D">
        <w:rPr>
          <w:sz w:val="28"/>
          <w:szCs w:val="28"/>
          <w:lang w:val="en-US"/>
        </w:rPr>
        <w:t>makes up a large part of the Canadian economy, particularly of its natural resources. In 2009, agriculture, energy, forestry and mining exports accounted for about 58% of Canada's total exports.</w:t>
      </w:r>
      <w:r w:rsidR="00606F59" w:rsidRPr="0068182D">
        <w:rPr>
          <w:rStyle w:val="apple-converted-space"/>
          <w:sz w:val="28"/>
          <w:szCs w:val="28"/>
          <w:lang w:val="en-US"/>
        </w:rPr>
        <w:t> </w:t>
      </w:r>
      <w:r w:rsidR="00606F59" w:rsidRPr="0068182D">
        <w:rPr>
          <w:sz w:val="28"/>
          <w:szCs w:val="28"/>
          <w:lang w:val="en-US"/>
        </w:rPr>
        <w:t>Machinery, equipment, automotive products and other manufactures accounted for a further 38% of exports in 2009.</w:t>
      </w:r>
      <w:r w:rsidR="00606F59" w:rsidRPr="0068182D">
        <w:rPr>
          <w:rStyle w:val="apple-converted-space"/>
          <w:sz w:val="28"/>
          <w:szCs w:val="28"/>
          <w:lang w:val="en-US"/>
        </w:rPr>
        <w:t> </w:t>
      </w:r>
      <w:r w:rsidR="00606F59" w:rsidRPr="0068182D">
        <w:rPr>
          <w:sz w:val="28"/>
          <w:szCs w:val="28"/>
          <w:lang w:val="en-US"/>
        </w:rPr>
        <w:t>In 2009, exports accounted for approximately 30% of Canada's GDP. The United States is by far its largest trading partner, accounting for about 73% of exports and 63% of imports as of 2009.</w:t>
      </w:r>
      <w:r w:rsidR="00606F59" w:rsidRPr="0068182D">
        <w:rPr>
          <w:rStyle w:val="apple-converted-space"/>
          <w:sz w:val="28"/>
          <w:szCs w:val="28"/>
          <w:lang w:val="en-US"/>
        </w:rPr>
        <w:t> </w:t>
      </w:r>
      <w:r w:rsidR="00606F59" w:rsidRPr="0068182D">
        <w:rPr>
          <w:sz w:val="28"/>
          <w:szCs w:val="28"/>
          <w:lang w:val="en-US"/>
        </w:rPr>
        <w:t>Canada's combined exports and imports ranked 8th among all nations in 2006.</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Approximately 4% of Canadians are directly employed in primary resource fields, and they account for 6.2% of GDP.</w:t>
      </w:r>
      <w:r w:rsidRPr="0068182D">
        <w:rPr>
          <w:rStyle w:val="apple-converted-space"/>
          <w:sz w:val="28"/>
          <w:szCs w:val="28"/>
          <w:lang w:val="en-US"/>
        </w:rPr>
        <w:t> </w:t>
      </w:r>
      <w:r w:rsidRPr="0068182D">
        <w:rPr>
          <w:sz w:val="28"/>
          <w:szCs w:val="28"/>
          <w:lang w:val="en-US"/>
        </w:rPr>
        <w:t>They are still paramount in many parts of the country. Many, if not most, towns in northern Canada, where agriculture is difficult, exist because of a nearby mine or source of timber. Canada is a world leader in the production of many natural resources such as</w:t>
      </w:r>
      <w:r w:rsidRPr="0068182D">
        <w:rPr>
          <w:rStyle w:val="apple-converted-space"/>
          <w:sz w:val="28"/>
          <w:szCs w:val="28"/>
          <w:lang w:val="en-US"/>
        </w:rPr>
        <w:t> </w:t>
      </w:r>
      <w:hyperlink r:id="rId194" w:tooltip="Gold" w:history="1">
        <w:r w:rsidRPr="0068182D">
          <w:rPr>
            <w:rStyle w:val="a5"/>
            <w:rFonts w:eastAsiaTheme="majorEastAsia"/>
            <w:color w:val="auto"/>
            <w:sz w:val="28"/>
            <w:szCs w:val="28"/>
            <w:u w:val="none"/>
            <w:lang w:val="en-US"/>
          </w:rPr>
          <w:t>gold</w:t>
        </w:r>
      </w:hyperlink>
      <w:r w:rsidRPr="0068182D">
        <w:rPr>
          <w:sz w:val="28"/>
          <w:szCs w:val="28"/>
          <w:lang w:val="en-US"/>
        </w:rPr>
        <w:t>,</w:t>
      </w:r>
      <w:r w:rsidRPr="0068182D">
        <w:rPr>
          <w:rStyle w:val="apple-converted-space"/>
          <w:sz w:val="28"/>
          <w:szCs w:val="28"/>
          <w:lang w:val="en-US"/>
        </w:rPr>
        <w:t> </w:t>
      </w:r>
      <w:hyperlink r:id="rId195" w:tooltip="Nickel" w:history="1">
        <w:r w:rsidRPr="0068182D">
          <w:rPr>
            <w:rStyle w:val="a5"/>
            <w:rFonts w:eastAsiaTheme="majorEastAsia"/>
            <w:color w:val="auto"/>
            <w:sz w:val="28"/>
            <w:szCs w:val="28"/>
            <w:u w:val="none"/>
            <w:lang w:val="en-US"/>
          </w:rPr>
          <w:t>nickel</w:t>
        </w:r>
      </w:hyperlink>
      <w:r w:rsidRPr="0068182D">
        <w:rPr>
          <w:sz w:val="28"/>
          <w:szCs w:val="28"/>
          <w:lang w:val="en-US"/>
        </w:rPr>
        <w:t>,</w:t>
      </w:r>
      <w:r w:rsidRPr="0068182D">
        <w:rPr>
          <w:rStyle w:val="apple-converted-space"/>
          <w:sz w:val="28"/>
          <w:szCs w:val="28"/>
          <w:lang w:val="en-US"/>
        </w:rPr>
        <w:t> </w:t>
      </w:r>
      <w:hyperlink r:id="rId196" w:tooltip="Uranium" w:history="1">
        <w:r w:rsidRPr="0068182D">
          <w:rPr>
            <w:rStyle w:val="a5"/>
            <w:rFonts w:eastAsiaTheme="majorEastAsia"/>
            <w:color w:val="auto"/>
            <w:sz w:val="28"/>
            <w:szCs w:val="28"/>
            <w:u w:val="none"/>
            <w:lang w:val="en-US"/>
          </w:rPr>
          <w:t>uranium</w:t>
        </w:r>
      </w:hyperlink>
      <w:r w:rsidRPr="0068182D">
        <w:rPr>
          <w:sz w:val="28"/>
          <w:szCs w:val="28"/>
          <w:lang w:val="en-US"/>
        </w:rPr>
        <w:t>,</w:t>
      </w:r>
      <w:r w:rsidRPr="0068182D">
        <w:rPr>
          <w:rStyle w:val="apple-converted-space"/>
          <w:sz w:val="28"/>
          <w:szCs w:val="28"/>
          <w:lang w:val="en-US"/>
        </w:rPr>
        <w:t> </w:t>
      </w:r>
      <w:hyperlink r:id="rId197" w:tooltip="Diamonds" w:history="1">
        <w:r w:rsidRPr="0068182D">
          <w:rPr>
            <w:rStyle w:val="a5"/>
            <w:rFonts w:eastAsiaTheme="majorEastAsia"/>
            <w:color w:val="auto"/>
            <w:sz w:val="28"/>
            <w:szCs w:val="28"/>
            <w:u w:val="none"/>
            <w:lang w:val="en-US"/>
          </w:rPr>
          <w:t>diamonds</w:t>
        </w:r>
      </w:hyperlink>
      <w:r w:rsidRPr="0068182D">
        <w:rPr>
          <w:sz w:val="28"/>
          <w:szCs w:val="28"/>
          <w:lang w:val="en-US"/>
        </w:rPr>
        <w:t>,</w:t>
      </w:r>
      <w:r w:rsidRPr="0068182D">
        <w:rPr>
          <w:rStyle w:val="apple-converted-space"/>
          <w:sz w:val="28"/>
          <w:szCs w:val="28"/>
          <w:lang w:val="en-US"/>
        </w:rPr>
        <w:t> </w:t>
      </w:r>
      <w:hyperlink r:id="rId198" w:tooltip="Lead" w:history="1">
        <w:r w:rsidRPr="0068182D">
          <w:rPr>
            <w:rStyle w:val="a5"/>
            <w:rFonts w:eastAsiaTheme="majorEastAsia"/>
            <w:color w:val="auto"/>
            <w:sz w:val="28"/>
            <w:szCs w:val="28"/>
            <w:u w:val="none"/>
            <w:lang w:val="en-US"/>
          </w:rPr>
          <w:t>lead</w:t>
        </w:r>
      </w:hyperlink>
      <w:r w:rsidRPr="0068182D">
        <w:rPr>
          <w:sz w:val="28"/>
          <w:szCs w:val="28"/>
          <w:lang w:val="en-US"/>
        </w:rPr>
        <w:t>, and in recent years, crude petroleum, which, with the world's second-largest oil reserves, is taking an increasingly prominent position in natural resources extraction. Several of Canada's largest companies are based in natural resource industries, such as</w:t>
      </w:r>
      <w:r w:rsidRPr="0068182D">
        <w:rPr>
          <w:rStyle w:val="apple-converted-space"/>
          <w:sz w:val="28"/>
          <w:szCs w:val="28"/>
          <w:lang w:val="en-US"/>
        </w:rPr>
        <w:t> </w:t>
      </w:r>
      <w:hyperlink r:id="rId199" w:tooltip="EnCana" w:history="1">
        <w:r w:rsidRPr="0068182D">
          <w:rPr>
            <w:rStyle w:val="a5"/>
            <w:rFonts w:eastAsiaTheme="majorEastAsia"/>
            <w:color w:val="auto"/>
            <w:sz w:val="28"/>
            <w:szCs w:val="28"/>
            <w:u w:val="none"/>
            <w:lang w:val="en-US"/>
          </w:rPr>
          <w:t>EnCana</w:t>
        </w:r>
      </w:hyperlink>
      <w:r w:rsidRPr="0068182D">
        <w:rPr>
          <w:sz w:val="28"/>
          <w:szCs w:val="28"/>
          <w:lang w:val="en-US"/>
        </w:rPr>
        <w:t>,</w:t>
      </w:r>
      <w:r w:rsidRPr="0068182D">
        <w:rPr>
          <w:rStyle w:val="apple-converted-space"/>
          <w:sz w:val="28"/>
          <w:szCs w:val="28"/>
          <w:lang w:val="en-US"/>
        </w:rPr>
        <w:t> </w:t>
      </w:r>
      <w:hyperlink r:id="rId200" w:tooltip="Cameco" w:history="1">
        <w:r w:rsidRPr="0068182D">
          <w:rPr>
            <w:rStyle w:val="a5"/>
            <w:rFonts w:eastAsiaTheme="majorEastAsia"/>
            <w:color w:val="auto"/>
            <w:sz w:val="28"/>
            <w:szCs w:val="28"/>
            <w:u w:val="none"/>
            <w:lang w:val="en-US"/>
          </w:rPr>
          <w:t>Cameco</w:t>
        </w:r>
      </w:hyperlink>
      <w:r w:rsidRPr="0068182D">
        <w:rPr>
          <w:sz w:val="28"/>
          <w:szCs w:val="28"/>
          <w:lang w:val="en-US"/>
        </w:rPr>
        <w:t>,</w:t>
      </w:r>
      <w:r w:rsidRPr="0068182D">
        <w:rPr>
          <w:rStyle w:val="apple-converted-space"/>
          <w:sz w:val="28"/>
          <w:szCs w:val="28"/>
          <w:lang w:val="en-US"/>
        </w:rPr>
        <w:t> </w:t>
      </w:r>
      <w:hyperlink r:id="rId201" w:tooltip="Goldcorp" w:history="1">
        <w:r w:rsidRPr="0068182D">
          <w:rPr>
            <w:rStyle w:val="a5"/>
            <w:rFonts w:eastAsiaTheme="majorEastAsia"/>
            <w:color w:val="auto"/>
            <w:sz w:val="28"/>
            <w:szCs w:val="28"/>
            <w:u w:val="none"/>
            <w:lang w:val="en-US"/>
          </w:rPr>
          <w:t>Goldcorp</w:t>
        </w:r>
      </w:hyperlink>
      <w:r w:rsidRPr="0068182D">
        <w:rPr>
          <w:sz w:val="28"/>
          <w:szCs w:val="28"/>
          <w:lang w:val="en-US"/>
        </w:rPr>
        <w:t>, and</w:t>
      </w:r>
      <w:r w:rsidRPr="0068182D">
        <w:rPr>
          <w:rStyle w:val="apple-converted-space"/>
          <w:sz w:val="28"/>
          <w:szCs w:val="28"/>
          <w:lang w:val="en-US"/>
        </w:rPr>
        <w:t> </w:t>
      </w:r>
      <w:hyperlink r:id="rId202" w:tooltip="Barrick Gold" w:history="1">
        <w:r w:rsidRPr="0068182D">
          <w:rPr>
            <w:rStyle w:val="a5"/>
            <w:rFonts w:eastAsiaTheme="majorEastAsia"/>
            <w:color w:val="auto"/>
            <w:sz w:val="28"/>
            <w:szCs w:val="28"/>
            <w:u w:val="none"/>
            <w:lang w:val="en-US"/>
          </w:rPr>
          <w:t>Barrick Gold</w:t>
        </w:r>
      </w:hyperlink>
      <w:r w:rsidRPr="0068182D">
        <w:rPr>
          <w:sz w:val="28"/>
          <w:szCs w:val="28"/>
          <w:lang w:val="en-US"/>
        </w:rPr>
        <w:t>. The vast majority of these products are exported, mainly to the United States. There are also many secondary and service industries that are directly linked to primary ones. For instance one of Canada's largest manufacturing industries is the</w:t>
      </w:r>
      <w:r w:rsidRPr="0068182D">
        <w:rPr>
          <w:rStyle w:val="apple-converted-space"/>
          <w:sz w:val="28"/>
          <w:szCs w:val="28"/>
          <w:lang w:val="en-US"/>
        </w:rPr>
        <w:t> </w:t>
      </w:r>
      <w:hyperlink r:id="rId203" w:tooltip="Pulp and paper" w:history="1">
        <w:r w:rsidRPr="0068182D">
          <w:rPr>
            <w:rStyle w:val="a5"/>
            <w:rFonts w:eastAsiaTheme="majorEastAsia"/>
            <w:color w:val="auto"/>
            <w:sz w:val="28"/>
            <w:szCs w:val="28"/>
            <w:u w:val="none"/>
            <w:lang w:val="en-US"/>
          </w:rPr>
          <w:t>pulp and paper</w:t>
        </w:r>
      </w:hyperlink>
      <w:r w:rsidRPr="0068182D">
        <w:rPr>
          <w:rStyle w:val="apple-converted-space"/>
          <w:sz w:val="28"/>
          <w:szCs w:val="28"/>
          <w:lang w:val="en-US"/>
        </w:rPr>
        <w:t> </w:t>
      </w:r>
      <w:r w:rsidRPr="0068182D">
        <w:rPr>
          <w:sz w:val="28"/>
          <w:szCs w:val="28"/>
          <w:lang w:val="en-US"/>
        </w:rPr>
        <w:t>sector, which is directly linked to the</w:t>
      </w:r>
      <w:r w:rsidRPr="0068182D">
        <w:rPr>
          <w:rStyle w:val="apple-converted-space"/>
          <w:sz w:val="28"/>
          <w:szCs w:val="28"/>
          <w:lang w:val="en-US"/>
        </w:rPr>
        <w:t> </w:t>
      </w:r>
      <w:hyperlink r:id="rId204" w:tooltip="Forestry in Canada" w:history="1">
        <w:r w:rsidRPr="0068182D">
          <w:rPr>
            <w:rStyle w:val="a5"/>
            <w:rFonts w:eastAsiaTheme="majorEastAsia"/>
            <w:color w:val="auto"/>
            <w:sz w:val="28"/>
            <w:szCs w:val="28"/>
            <w:u w:val="none"/>
            <w:lang w:val="en-US"/>
          </w:rPr>
          <w:t>logging</w:t>
        </w:r>
      </w:hyperlink>
      <w:r w:rsidRPr="0068182D">
        <w:rPr>
          <w:rStyle w:val="apple-converted-space"/>
          <w:sz w:val="28"/>
          <w:szCs w:val="28"/>
          <w:lang w:val="en-US"/>
        </w:rPr>
        <w:t> </w:t>
      </w:r>
      <w:r w:rsidRPr="0068182D">
        <w:rPr>
          <w:sz w:val="28"/>
          <w:szCs w:val="28"/>
          <w:lang w:val="en-US"/>
        </w:rPr>
        <w:t>business.</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xml:space="preserve">The reliance on natural resources has several effects on the Canadian economy and Canadian society. While manufacturing and service industries are easy to standardize, natural resources vary greatly by region. This ensures that differing economic structures developed in each region of Canada, contributing to Canada's strong regionalism. At the same time the vast majority of these resources are exported, integrating Canada closely into the international economy. </w:t>
      </w:r>
    </w:p>
    <w:p w:rsidR="00606F59" w:rsidRPr="0068182D"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2012, the Canadian economy had the following relative weighting by industry, as percentage value of GDP: </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12.34 Real estate and rental and leasing</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10.86 Manufacturing</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07.96 Mining, quarrying and oil or gas extraction</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07.03 Health care and social assistance</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06.90 Public administration</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06.55 Finance and insurance</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05.41 Wholesale trade</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05.41 Retail trade</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05.38 Educational services</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05.21 Professional scientific and technical services</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04.20 Transportation and warehousing</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03.31 Information and cultural industries</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02.58 Administrative and support, waste management and remediation services</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02.46 Utilities</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02.10 Accommodation and food services</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02.04 Other services (except public administration)</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01.59 Agriculture, forestry, fishing and hunting</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00.76 Management of companies and enterprises</w:t>
      </w:r>
    </w:p>
    <w:p w:rsidR="00606F59" w:rsidRPr="0068182D" w:rsidRDefault="00606F59" w:rsidP="000537F4">
      <w:pPr>
        <w:numPr>
          <w:ilvl w:val="0"/>
          <w:numId w:val="33"/>
        </w:numPr>
        <w:shd w:val="clear" w:color="auto" w:fill="FFFFFF"/>
        <w:spacing w:after="0" w:line="240" w:lineRule="auto"/>
        <w:ind w:left="384" w:firstLine="567"/>
        <w:jc w:val="both"/>
        <w:rPr>
          <w:rFonts w:ascii="Times New Roman" w:hAnsi="Times New Roman" w:cs="Times New Roman"/>
          <w:sz w:val="28"/>
          <w:szCs w:val="28"/>
        </w:rPr>
      </w:pPr>
      <w:r w:rsidRPr="0068182D">
        <w:rPr>
          <w:rFonts w:ascii="Times New Roman" w:hAnsi="Times New Roman" w:cs="Times New Roman"/>
          <w:sz w:val="28"/>
          <w:szCs w:val="28"/>
        </w:rPr>
        <w:t>00.75 Arts, entertainment and recreation</w:t>
      </w:r>
    </w:p>
    <w:p w:rsidR="00606F59" w:rsidRPr="0068182D" w:rsidRDefault="00606F59" w:rsidP="00606F59">
      <w:pPr>
        <w:pStyle w:val="a4"/>
        <w:shd w:val="clear" w:color="auto" w:fill="FFFFFF"/>
        <w:spacing w:after="0" w:line="240" w:lineRule="auto"/>
        <w:ind w:firstLine="567"/>
        <w:jc w:val="both"/>
        <w:outlineLvl w:val="2"/>
        <w:rPr>
          <w:rFonts w:ascii="Times New Roman" w:hAnsi="Times New Roman" w:cs="Times New Roman"/>
          <w:b/>
          <w:bCs/>
          <w:sz w:val="28"/>
          <w:szCs w:val="28"/>
        </w:rPr>
      </w:pPr>
    </w:p>
    <w:p w:rsidR="00606F59" w:rsidRPr="0068182D" w:rsidRDefault="00606F59" w:rsidP="00606F59">
      <w:pPr>
        <w:pStyle w:val="a4"/>
        <w:shd w:val="clear" w:color="auto" w:fill="FFFFFF"/>
        <w:spacing w:after="0" w:line="240" w:lineRule="auto"/>
        <w:ind w:firstLine="567"/>
        <w:jc w:val="both"/>
        <w:outlineLvl w:val="2"/>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t>Service sector</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service sector in Canada is vast and multifaceted, employing about three quarters of Canadians and accounting for 70% of GDP.</w:t>
      </w:r>
      <w:r w:rsidRPr="0068182D">
        <w:rPr>
          <w:rStyle w:val="apple-converted-space"/>
          <w:sz w:val="28"/>
          <w:szCs w:val="28"/>
          <w:lang w:val="en-US"/>
        </w:rPr>
        <w:t> </w:t>
      </w:r>
      <w:r w:rsidRPr="0068182D">
        <w:rPr>
          <w:sz w:val="28"/>
          <w:szCs w:val="28"/>
          <w:lang w:val="en-US"/>
        </w:rPr>
        <w:t>The largest employer is the</w:t>
      </w:r>
      <w:r w:rsidRPr="0068182D">
        <w:rPr>
          <w:rStyle w:val="apple-converted-space"/>
          <w:sz w:val="28"/>
          <w:szCs w:val="28"/>
          <w:lang w:val="en-US"/>
        </w:rPr>
        <w:t> </w:t>
      </w:r>
      <w:hyperlink r:id="rId205" w:tooltip="Retail" w:history="1">
        <w:r w:rsidRPr="0068182D">
          <w:rPr>
            <w:rStyle w:val="a5"/>
            <w:rFonts w:eastAsiaTheme="majorEastAsia"/>
            <w:color w:val="auto"/>
            <w:sz w:val="28"/>
            <w:szCs w:val="28"/>
            <w:u w:val="none"/>
            <w:lang w:val="en-US"/>
          </w:rPr>
          <w:t>retail</w:t>
        </w:r>
      </w:hyperlink>
      <w:r w:rsidRPr="0068182D">
        <w:rPr>
          <w:rStyle w:val="apple-converted-space"/>
          <w:sz w:val="28"/>
          <w:szCs w:val="28"/>
          <w:lang w:val="en-US"/>
        </w:rPr>
        <w:t> </w:t>
      </w:r>
      <w:r w:rsidRPr="0068182D">
        <w:rPr>
          <w:sz w:val="28"/>
          <w:szCs w:val="28"/>
          <w:lang w:val="en-US"/>
        </w:rPr>
        <w:t>sector, employing almost 12% of Canadians.</w:t>
      </w:r>
      <w:r w:rsidRPr="0068182D">
        <w:rPr>
          <w:rStyle w:val="apple-converted-space"/>
          <w:sz w:val="28"/>
          <w:szCs w:val="28"/>
          <w:lang w:val="en-US"/>
        </w:rPr>
        <w:t> </w:t>
      </w:r>
      <w:r w:rsidRPr="0068182D">
        <w:rPr>
          <w:sz w:val="28"/>
          <w:szCs w:val="28"/>
          <w:lang w:val="en-US"/>
        </w:rPr>
        <w:t>The retail industry is mainly concentrated in a small number of chain stores clustered together in</w:t>
      </w:r>
      <w:r w:rsidRPr="0068182D">
        <w:rPr>
          <w:rStyle w:val="apple-converted-space"/>
          <w:sz w:val="28"/>
          <w:szCs w:val="28"/>
          <w:lang w:val="en-US"/>
        </w:rPr>
        <w:t> </w:t>
      </w:r>
      <w:hyperlink r:id="rId206" w:tooltip="Shopping mall" w:history="1">
        <w:r w:rsidRPr="0068182D">
          <w:rPr>
            <w:rStyle w:val="a5"/>
            <w:rFonts w:eastAsiaTheme="majorEastAsia"/>
            <w:color w:val="auto"/>
            <w:sz w:val="28"/>
            <w:szCs w:val="28"/>
            <w:u w:val="none"/>
            <w:lang w:val="en-US"/>
          </w:rPr>
          <w:t>shopping malls</w:t>
        </w:r>
      </w:hyperlink>
      <w:r w:rsidRPr="0068182D">
        <w:rPr>
          <w:sz w:val="28"/>
          <w:szCs w:val="28"/>
          <w:lang w:val="en-US"/>
        </w:rPr>
        <w:t>. In recent years, there has been an increase in the number of</w:t>
      </w:r>
      <w:r w:rsidRPr="0068182D">
        <w:rPr>
          <w:rStyle w:val="apple-converted-space"/>
          <w:sz w:val="28"/>
          <w:szCs w:val="28"/>
          <w:lang w:val="en-US"/>
        </w:rPr>
        <w:t> </w:t>
      </w:r>
      <w:hyperlink r:id="rId207" w:tooltip="Big-box store" w:history="1">
        <w:r w:rsidRPr="0068182D">
          <w:rPr>
            <w:rStyle w:val="a5"/>
            <w:rFonts w:eastAsiaTheme="majorEastAsia"/>
            <w:color w:val="auto"/>
            <w:sz w:val="28"/>
            <w:szCs w:val="28"/>
            <w:u w:val="none"/>
            <w:lang w:val="en-US"/>
          </w:rPr>
          <w:t>big-box stores</w:t>
        </w:r>
      </w:hyperlink>
      <w:r w:rsidRPr="0068182D">
        <w:rPr>
          <w:sz w:val="28"/>
          <w:szCs w:val="28"/>
          <w:lang w:val="en-US"/>
        </w:rPr>
        <w:t>, such as</w:t>
      </w:r>
      <w:r w:rsidRPr="0068182D">
        <w:rPr>
          <w:rStyle w:val="apple-converted-space"/>
          <w:sz w:val="28"/>
          <w:szCs w:val="28"/>
          <w:lang w:val="en-US"/>
        </w:rPr>
        <w:t> </w:t>
      </w:r>
      <w:hyperlink r:id="rId208" w:tooltip="Wal-Mart" w:history="1">
        <w:r w:rsidRPr="0068182D">
          <w:rPr>
            <w:rStyle w:val="a5"/>
            <w:rFonts w:eastAsiaTheme="majorEastAsia"/>
            <w:color w:val="auto"/>
            <w:sz w:val="28"/>
            <w:szCs w:val="28"/>
            <w:u w:val="none"/>
            <w:lang w:val="en-US"/>
          </w:rPr>
          <w:t>Wal-Mart</w:t>
        </w:r>
      </w:hyperlink>
      <w:r w:rsidRPr="0068182D">
        <w:rPr>
          <w:rStyle w:val="apple-converted-space"/>
          <w:sz w:val="28"/>
          <w:szCs w:val="28"/>
          <w:lang w:val="en-US"/>
        </w:rPr>
        <w:t> </w:t>
      </w:r>
      <w:r w:rsidRPr="0068182D">
        <w:rPr>
          <w:sz w:val="28"/>
          <w:szCs w:val="28"/>
          <w:lang w:val="en-US"/>
        </w:rPr>
        <w:t>(of the United States),</w:t>
      </w:r>
      <w:r w:rsidRPr="0068182D">
        <w:rPr>
          <w:rStyle w:val="apple-converted-space"/>
          <w:sz w:val="28"/>
          <w:szCs w:val="28"/>
          <w:lang w:val="en-US"/>
        </w:rPr>
        <w:t> </w:t>
      </w:r>
      <w:hyperlink r:id="rId209" w:tooltip="Real Canadian Superstore" w:history="1">
        <w:r w:rsidRPr="0068182D">
          <w:rPr>
            <w:rStyle w:val="a5"/>
            <w:rFonts w:eastAsiaTheme="majorEastAsia"/>
            <w:color w:val="auto"/>
            <w:sz w:val="28"/>
            <w:szCs w:val="28"/>
            <w:u w:val="none"/>
            <w:lang w:val="en-US"/>
          </w:rPr>
          <w:t>Real Canadian Superstore</w:t>
        </w:r>
      </w:hyperlink>
      <w:r w:rsidRPr="0068182D">
        <w:rPr>
          <w:sz w:val="28"/>
          <w:szCs w:val="28"/>
          <w:lang w:val="en-US"/>
        </w:rPr>
        <w:t>, and</w:t>
      </w:r>
      <w:r w:rsidRPr="0068182D">
        <w:rPr>
          <w:rStyle w:val="apple-converted-space"/>
          <w:sz w:val="28"/>
          <w:szCs w:val="28"/>
          <w:lang w:val="en-US"/>
        </w:rPr>
        <w:t> </w:t>
      </w:r>
      <w:hyperlink r:id="rId210" w:tooltip="Best Buy" w:history="1">
        <w:r w:rsidRPr="0068182D">
          <w:rPr>
            <w:rStyle w:val="a5"/>
            <w:rFonts w:eastAsiaTheme="majorEastAsia"/>
            <w:color w:val="auto"/>
            <w:sz w:val="28"/>
            <w:szCs w:val="28"/>
            <w:u w:val="none"/>
            <w:lang w:val="en-US"/>
          </w:rPr>
          <w:t>Best Buy</w:t>
        </w:r>
      </w:hyperlink>
      <w:r w:rsidRPr="0068182D">
        <w:rPr>
          <w:rStyle w:val="apple-converted-space"/>
          <w:sz w:val="28"/>
          <w:szCs w:val="28"/>
          <w:lang w:val="en-US"/>
        </w:rPr>
        <w:t> </w:t>
      </w:r>
      <w:r w:rsidRPr="0068182D">
        <w:rPr>
          <w:sz w:val="28"/>
          <w:szCs w:val="28"/>
          <w:lang w:val="en-US"/>
        </w:rPr>
        <w:t>(of the United States). This has led to fewer workers in this sector and a migration of retail jobs to the suburbs.</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second largest portion of the service sector is the business service and hire only a slightly smaller percentage of the population. This includes the</w:t>
      </w:r>
      <w:r w:rsidRPr="0068182D">
        <w:rPr>
          <w:rStyle w:val="apple-converted-space"/>
          <w:sz w:val="28"/>
          <w:szCs w:val="28"/>
          <w:lang w:val="en-US"/>
        </w:rPr>
        <w:t> </w:t>
      </w:r>
      <w:hyperlink r:id="rId211" w:tooltip="Financial services" w:history="1">
        <w:r w:rsidRPr="0068182D">
          <w:rPr>
            <w:rStyle w:val="a5"/>
            <w:rFonts w:eastAsiaTheme="majorEastAsia"/>
            <w:color w:val="auto"/>
            <w:sz w:val="28"/>
            <w:szCs w:val="28"/>
            <w:u w:val="none"/>
            <w:lang w:val="en-US"/>
          </w:rPr>
          <w:t>financial services</w:t>
        </w:r>
      </w:hyperlink>
      <w:r w:rsidRPr="0068182D">
        <w:rPr>
          <w:sz w:val="28"/>
          <w:szCs w:val="28"/>
          <w:lang w:val="en-US"/>
        </w:rPr>
        <w:t>,</w:t>
      </w:r>
      <w:r w:rsidRPr="0068182D">
        <w:rPr>
          <w:rStyle w:val="apple-converted-space"/>
          <w:sz w:val="28"/>
          <w:szCs w:val="28"/>
          <w:lang w:val="en-US"/>
        </w:rPr>
        <w:t> </w:t>
      </w:r>
      <w:hyperlink r:id="rId212" w:tooltip="Real estate" w:history="1">
        <w:r w:rsidRPr="0068182D">
          <w:rPr>
            <w:rStyle w:val="a5"/>
            <w:rFonts w:eastAsiaTheme="majorEastAsia"/>
            <w:color w:val="auto"/>
            <w:sz w:val="28"/>
            <w:szCs w:val="28"/>
            <w:u w:val="none"/>
            <w:lang w:val="en-US"/>
          </w:rPr>
          <w:t>real estate</w:t>
        </w:r>
      </w:hyperlink>
      <w:r w:rsidRPr="0068182D">
        <w:rPr>
          <w:sz w:val="28"/>
          <w:szCs w:val="28"/>
          <w:lang w:val="en-US"/>
        </w:rPr>
        <w:t>, and communications industries. This portion of the economy has been rapidly growing in recent years. It is largely concentrated in the major urban centres, especially</w:t>
      </w:r>
      <w:r w:rsidRPr="0068182D">
        <w:rPr>
          <w:rStyle w:val="apple-converted-space"/>
          <w:sz w:val="28"/>
          <w:szCs w:val="28"/>
          <w:lang w:val="en-US"/>
        </w:rPr>
        <w:t> </w:t>
      </w:r>
      <w:hyperlink r:id="rId213" w:tooltip="Toronto" w:history="1">
        <w:r w:rsidRPr="0068182D">
          <w:rPr>
            <w:rStyle w:val="a5"/>
            <w:rFonts w:eastAsiaTheme="majorEastAsia"/>
            <w:color w:val="auto"/>
            <w:sz w:val="28"/>
            <w:szCs w:val="28"/>
            <w:u w:val="none"/>
            <w:lang w:val="en-US"/>
          </w:rPr>
          <w:t>Toronto</w:t>
        </w:r>
      </w:hyperlink>
      <w:r w:rsidRPr="0068182D">
        <w:rPr>
          <w:sz w:val="28"/>
          <w:szCs w:val="28"/>
          <w:lang w:val="en-US"/>
        </w:rPr>
        <w:t>,</w:t>
      </w:r>
      <w:r w:rsidRPr="0068182D">
        <w:rPr>
          <w:rStyle w:val="apple-converted-space"/>
          <w:sz w:val="28"/>
          <w:szCs w:val="28"/>
          <w:lang w:val="en-US"/>
        </w:rPr>
        <w:t> </w:t>
      </w:r>
      <w:hyperlink r:id="rId214" w:tooltip="Montreal" w:history="1">
        <w:r w:rsidRPr="0068182D">
          <w:rPr>
            <w:rStyle w:val="a5"/>
            <w:rFonts w:eastAsiaTheme="majorEastAsia"/>
            <w:color w:val="auto"/>
            <w:sz w:val="28"/>
            <w:szCs w:val="28"/>
            <w:u w:val="none"/>
            <w:lang w:val="en-US"/>
          </w:rPr>
          <w:t>Montreal</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215" w:tooltip="Vancouver" w:history="1">
        <w:r w:rsidRPr="0068182D">
          <w:rPr>
            <w:rStyle w:val="a5"/>
            <w:rFonts w:eastAsiaTheme="majorEastAsia"/>
            <w:color w:val="auto"/>
            <w:sz w:val="28"/>
            <w:szCs w:val="28"/>
            <w:u w:val="none"/>
            <w:lang w:val="en-US"/>
          </w:rPr>
          <w:t>Vancouver</w:t>
        </w:r>
      </w:hyperlink>
      <w:r w:rsidRPr="0068182D">
        <w:rPr>
          <w:rStyle w:val="apple-converted-space"/>
          <w:sz w:val="28"/>
          <w:szCs w:val="28"/>
          <w:lang w:val="en-US"/>
        </w:rPr>
        <w:t> </w:t>
      </w:r>
      <w:r w:rsidRPr="0068182D">
        <w:rPr>
          <w:sz w:val="28"/>
          <w:szCs w:val="28"/>
          <w:lang w:val="en-US"/>
        </w:rPr>
        <w:t>(see</w:t>
      </w:r>
      <w:r w:rsidRPr="0068182D">
        <w:rPr>
          <w:rStyle w:val="apple-converted-space"/>
          <w:sz w:val="28"/>
          <w:szCs w:val="28"/>
          <w:lang w:val="en-US"/>
        </w:rPr>
        <w:t> </w:t>
      </w:r>
      <w:hyperlink r:id="rId216" w:tooltip="Banking in Canada" w:history="1">
        <w:r w:rsidRPr="0068182D">
          <w:rPr>
            <w:rStyle w:val="a5"/>
            <w:rFonts w:eastAsiaTheme="majorEastAsia"/>
            <w:color w:val="auto"/>
            <w:sz w:val="28"/>
            <w:szCs w:val="28"/>
            <w:u w:val="none"/>
            <w:lang w:val="en-US"/>
          </w:rPr>
          <w:t>Banking in Canada</w:t>
        </w:r>
      </w:hyperlink>
      <w:r w:rsidRPr="0068182D">
        <w:rPr>
          <w:sz w:val="28"/>
          <w:szCs w:val="28"/>
          <w:lang w:val="en-US"/>
        </w:rPr>
        <w:t>).</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education and health sectors are two of Canada's largest, but both are largely under the influence of the government. The health care industry has been quickly growing, and is the third largest in Canada. Its rapid growth has led to problems for governments who must find money to fund it.</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Canada has an important</w:t>
      </w:r>
      <w:r w:rsidRPr="0068182D">
        <w:rPr>
          <w:rStyle w:val="apple-converted-space"/>
          <w:sz w:val="28"/>
          <w:szCs w:val="28"/>
          <w:lang w:val="en-US"/>
        </w:rPr>
        <w:t> </w:t>
      </w:r>
      <w:hyperlink r:id="rId217" w:tooltip="High tech" w:history="1">
        <w:r w:rsidRPr="0068182D">
          <w:rPr>
            <w:rStyle w:val="a5"/>
            <w:rFonts w:eastAsiaTheme="majorEastAsia"/>
            <w:color w:val="auto"/>
            <w:sz w:val="28"/>
            <w:szCs w:val="28"/>
            <w:u w:val="none"/>
            <w:lang w:val="en-US"/>
          </w:rPr>
          <w:t>high tech</w:t>
        </w:r>
      </w:hyperlink>
      <w:r w:rsidRPr="0068182D">
        <w:rPr>
          <w:rStyle w:val="apple-converted-space"/>
          <w:sz w:val="28"/>
          <w:szCs w:val="28"/>
          <w:lang w:val="en-US"/>
        </w:rPr>
        <w:t> </w:t>
      </w:r>
      <w:r w:rsidRPr="0068182D">
        <w:rPr>
          <w:sz w:val="28"/>
          <w:szCs w:val="28"/>
          <w:lang w:val="en-US"/>
        </w:rPr>
        <w:t>industry, and a burgeoning film, television, and entertainment industry creating content for local and international consumption (see</w:t>
      </w:r>
      <w:r w:rsidRPr="0068182D">
        <w:rPr>
          <w:rStyle w:val="apple-converted-space"/>
          <w:sz w:val="28"/>
          <w:szCs w:val="28"/>
          <w:lang w:val="en-US"/>
        </w:rPr>
        <w:t> </w:t>
      </w:r>
      <w:hyperlink r:id="rId218" w:tooltip="Media in Canada" w:history="1">
        <w:r w:rsidRPr="0068182D">
          <w:rPr>
            <w:rStyle w:val="a5"/>
            <w:rFonts w:eastAsiaTheme="majorEastAsia"/>
            <w:color w:val="auto"/>
            <w:sz w:val="28"/>
            <w:szCs w:val="28"/>
            <w:u w:val="none"/>
            <w:lang w:val="en-US"/>
          </w:rPr>
          <w:t>Media in Canada</w:t>
        </w:r>
      </w:hyperlink>
      <w:r w:rsidRPr="0068182D">
        <w:rPr>
          <w:sz w:val="28"/>
          <w:szCs w:val="28"/>
          <w:lang w:val="en-US"/>
        </w:rPr>
        <w:t>).</w:t>
      </w:r>
      <w:r w:rsidRPr="0068182D">
        <w:rPr>
          <w:rStyle w:val="apple-converted-space"/>
          <w:sz w:val="28"/>
          <w:szCs w:val="28"/>
          <w:lang w:val="en-US"/>
        </w:rPr>
        <w:t> </w:t>
      </w:r>
      <w:hyperlink r:id="rId219" w:tooltip="Tourism in Canada" w:history="1">
        <w:r w:rsidRPr="0068182D">
          <w:rPr>
            <w:rStyle w:val="a5"/>
            <w:rFonts w:eastAsiaTheme="majorEastAsia"/>
            <w:color w:val="auto"/>
            <w:sz w:val="28"/>
            <w:szCs w:val="28"/>
            <w:u w:val="none"/>
            <w:lang w:val="en-US"/>
          </w:rPr>
          <w:t>Tourism</w:t>
        </w:r>
      </w:hyperlink>
      <w:r w:rsidRPr="0068182D">
        <w:rPr>
          <w:rStyle w:val="apple-converted-space"/>
          <w:sz w:val="28"/>
          <w:szCs w:val="28"/>
          <w:lang w:val="en-US"/>
        </w:rPr>
        <w:t> </w:t>
      </w:r>
      <w:r w:rsidRPr="0068182D">
        <w:rPr>
          <w:sz w:val="28"/>
          <w:szCs w:val="28"/>
          <w:lang w:val="en-US"/>
        </w:rPr>
        <w:t>is of ever increasing importance, with the vast majority of international visitors coming from the United States. Though the recent strength of the Canadian Dollar has hurt this sector, other nations such as China have increased tourism to Canada. Casino gaming is currently the fastest-growing component of the Canadian tourism industry, contributing $5 billion in profits for Canadian governments and employing 41,000 Canadians as of 2001.</w:t>
      </w:r>
    </w:p>
    <w:p w:rsidR="00606F59" w:rsidRPr="0068182D" w:rsidRDefault="00606F59" w:rsidP="00606F59">
      <w:pPr>
        <w:pStyle w:val="3"/>
        <w:shd w:val="clear" w:color="auto" w:fill="FFFFFF"/>
        <w:spacing w:before="0"/>
        <w:ind w:firstLine="567"/>
        <w:jc w:val="both"/>
        <w:rPr>
          <w:rFonts w:ascii="Times New Roman" w:hAnsi="Times New Roman" w:cs="Times New Roman"/>
          <w:color w:val="auto"/>
          <w:sz w:val="28"/>
          <w:szCs w:val="28"/>
          <w:lang w:val="en-US"/>
        </w:rPr>
      </w:pPr>
      <w:r w:rsidRPr="0068182D">
        <w:rPr>
          <w:rStyle w:val="mw-headline"/>
          <w:rFonts w:ascii="Times New Roman" w:hAnsi="Times New Roman" w:cs="Times New Roman"/>
          <w:color w:val="auto"/>
          <w:sz w:val="28"/>
          <w:szCs w:val="28"/>
          <w:lang w:val="en-US"/>
        </w:rPr>
        <w:t>Manufacturing</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general pattern of development for wealthy nations was a transition from a primary industry based economy to a manufacturing based one, and then to a service based economy. Canada did not escape this pattern - at its (abnormally high World War II) peak in 1944, manufacturing accounted for 29% of GDP,</w:t>
      </w:r>
      <w:r w:rsidRPr="0068182D">
        <w:rPr>
          <w:rStyle w:val="apple-converted-space"/>
          <w:sz w:val="28"/>
          <w:szCs w:val="28"/>
          <w:lang w:val="en-US"/>
        </w:rPr>
        <w:t> </w:t>
      </w:r>
      <w:r w:rsidRPr="0068182D">
        <w:rPr>
          <w:sz w:val="28"/>
          <w:szCs w:val="28"/>
          <w:lang w:val="en-US"/>
        </w:rPr>
        <w:t>declining to 15.6% in 2005. Canada has not suffered as greatly as most other rich, industrialized nations from the pains of the relative decline in the importance of manufacturing since the 1960s.</w:t>
      </w:r>
      <w:r w:rsidRPr="0068182D">
        <w:rPr>
          <w:rStyle w:val="apple-converted-space"/>
          <w:sz w:val="28"/>
          <w:szCs w:val="28"/>
          <w:lang w:val="en-US"/>
        </w:rPr>
        <w:t> </w:t>
      </w:r>
      <w:r w:rsidRPr="0068182D">
        <w:rPr>
          <w:sz w:val="28"/>
          <w:szCs w:val="28"/>
          <w:lang w:val="en-US"/>
        </w:rPr>
        <w:t>A 2009 study by</w:t>
      </w:r>
      <w:r w:rsidRPr="0068182D">
        <w:rPr>
          <w:rStyle w:val="apple-converted-space"/>
          <w:sz w:val="28"/>
          <w:szCs w:val="28"/>
          <w:lang w:val="en-US"/>
        </w:rPr>
        <w:t> </w:t>
      </w:r>
      <w:hyperlink r:id="rId220" w:tooltip="Statistics Canada" w:history="1">
        <w:r w:rsidRPr="0068182D">
          <w:rPr>
            <w:rStyle w:val="a5"/>
            <w:rFonts w:eastAsiaTheme="majorEastAsia"/>
            <w:color w:val="auto"/>
            <w:sz w:val="28"/>
            <w:szCs w:val="28"/>
            <w:u w:val="none"/>
            <w:lang w:val="en-US"/>
          </w:rPr>
          <w:t>Statistics Canada</w:t>
        </w:r>
      </w:hyperlink>
      <w:r w:rsidRPr="0068182D">
        <w:rPr>
          <w:rStyle w:val="apple-converted-space"/>
          <w:sz w:val="28"/>
          <w:szCs w:val="28"/>
          <w:lang w:val="en-US"/>
        </w:rPr>
        <w:t> </w:t>
      </w:r>
      <w:r w:rsidRPr="0068182D">
        <w:rPr>
          <w:sz w:val="28"/>
          <w:szCs w:val="28"/>
          <w:lang w:val="en-US"/>
        </w:rPr>
        <w:t>also found that, while manufacturing declined as a relative percentage of GDP from 24.3% in the 1960s to 15.6% in 2005, manufacturing volumes between 1961 and 2005 kept pace with the overall growth in the volume index of GDP.</w:t>
      </w:r>
      <w:r w:rsidRPr="0068182D">
        <w:rPr>
          <w:rStyle w:val="apple-converted-space"/>
          <w:sz w:val="28"/>
          <w:szCs w:val="28"/>
          <w:lang w:val="en-US"/>
        </w:rPr>
        <w:t> </w:t>
      </w:r>
      <w:r w:rsidRPr="0068182D">
        <w:rPr>
          <w:sz w:val="28"/>
          <w:szCs w:val="28"/>
          <w:lang w:val="en-US"/>
        </w:rPr>
        <w:t>Manufacturing in Canada was especially hit hard by the</w:t>
      </w:r>
      <w:r w:rsidRPr="0068182D">
        <w:rPr>
          <w:rStyle w:val="apple-converted-space"/>
          <w:sz w:val="28"/>
          <w:szCs w:val="28"/>
          <w:lang w:val="en-US"/>
        </w:rPr>
        <w:t> </w:t>
      </w:r>
      <w:hyperlink r:id="rId221" w:tooltip="Financial crisis of 2007–08" w:history="1">
        <w:r w:rsidRPr="0068182D">
          <w:rPr>
            <w:rStyle w:val="a5"/>
            <w:rFonts w:eastAsiaTheme="majorEastAsia"/>
            <w:color w:val="auto"/>
            <w:sz w:val="28"/>
            <w:szCs w:val="28"/>
            <w:u w:val="none"/>
            <w:lang w:val="en-US"/>
          </w:rPr>
          <w:t>financial crisis of 2007–08</w:t>
        </w:r>
      </w:hyperlink>
      <w:r w:rsidRPr="0068182D">
        <w:rPr>
          <w:sz w:val="28"/>
          <w:szCs w:val="28"/>
          <w:lang w:val="en-US"/>
        </w:rPr>
        <w:t>. As of 2010, manufacturing accounts for 13% of Canada's GDP,</w:t>
      </w:r>
      <w:r w:rsidRPr="0068182D">
        <w:rPr>
          <w:rStyle w:val="apple-converted-space"/>
          <w:sz w:val="28"/>
          <w:szCs w:val="28"/>
          <w:lang w:val="en-US"/>
        </w:rPr>
        <w:t> </w:t>
      </w:r>
      <w:r w:rsidRPr="0068182D">
        <w:rPr>
          <w:sz w:val="28"/>
          <w:szCs w:val="28"/>
          <w:lang w:val="en-US"/>
        </w:rPr>
        <w:t>a relative decline of more than 2% of GDP since 2005.</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Central Canada is home to</w:t>
      </w:r>
      <w:r w:rsidRPr="0068182D">
        <w:rPr>
          <w:rStyle w:val="apple-converted-space"/>
          <w:sz w:val="28"/>
          <w:szCs w:val="28"/>
          <w:lang w:val="en-US"/>
        </w:rPr>
        <w:t> </w:t>
      </w:r>
      <w:hyperlink r:id="rId222" w:tooltip="Branch plant" w:history="1">
        <w:r w:rsidRPr="0068182D">
          <w:rPr>
            <w:rStyle w:val="a5"/>
            <w:rFonts w:eastAsiaTheme="majorEastAsia"/>
            <w:color w:val="auto"/>
            <w:sz w:val="28"/>
            <w:szCs w:val="28"/>
            <w:u w:val="none"/>
            <w:lang w:val="en-US"/>
          </w:rPr>
          <w:t>branch plants</w:t>
        </w:r>
      </w:hyperlink>
      <w:r w:rsidRPr="0068182D">
        <w:rPr>
          <w:rStyle w:val="apple-converted-space"/>
          <w:sz w:val="28"/>
          <w:szCs w:val="28"/>
          <w:lang w:val="en-US"/>
        </w:rPr>
        <w:t> </w:t>
      </w:r>
      <w:r w:rsidRPr="0068182D">
        <w:rPr>
          <w:sz w:val="28"/>
          <w:szCs w:val="28"/>
          <w:lang w:val="en-US"/>
        </w:rPr>
        <w:t>to all the major American and Japanese automobile makers and many parts factories owned by Canadian firms such as</w:t>
      </w:r>
      <w:r w:rsidRPr="0068182D">
        <w:rPr>
          <w:rStyle w:val="apple-converted-space"/>
          <w:sz w:val="28"/>
          <w:szCs w:val="28"/>
          <w:lang w:val="en-US"/>
        </w:rPr>
        <w:t> </w:t>
      </w:r>
      <w:hyperlink r:id="rId223" w:tooltip="Magna International" w:history="1">
        <w:r w:rsidRPr="0068182D">
          <w:rPr>
            <w:rStyle w:val="a5"/>
            <w:rFonts w:eastAsiaTheme="majorEastAsia"/>
            <w:color w:val="auto"/>
            <w:sz w:val="28"/>
            <w:szCs w:val="28"/>
            <w:u w:val="none"/>
            <w:lang w:val="en-US"/>
          </w:rPr>
          <w:t>Magna International</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224" w:tooltip="Linamar" w:history="1">
        <w:r w:rsidRPr="0068182D">
          <w:rPr>
            <w:rStyle w:val="a5"/>
            <w:rFonts w:eastAsiaTheme="majorEastAsia"/>
            <w:color w:val="auto"/>
            <w:sz w:val="28"/>
            <w:szCs w:val="28"/>
            <w:u w:val="none"/>
            <w:lang w:val="en-US"/>
          </w:rPr>
          <w:t>Linamar Corporation</w:t>
        </w:r>
      </w:hyperlink>
      <w:r w:rsidRPr="0068182D">
        <w:rPr>
          <w:sz w:val="28"/>
          <w:szCs w:val="28"/>
          <w:lang w:val="en-US"/>
        </w:rPr>
        <w:t>. Central Canada today produces more vehicles each year than the neighbouring U.S. state of</w:t>
      </w:r>
      <w:r w:rsidRPr="0068182D">
        <w:rPr>
          <w:rStyle w:val="apple-converted-space"/>
          <w:sz w:val="28"/>
          <w:szCs w:val="28"/>
          <w:lang w:val="en-US"/>
        </w:rPr>
        <w:t> </w:t>
      </w:r>
      <w:hyperlink r:id="rId225" w:tooltip="Michigan" w:history="1">
        <w:r w:rsidRPr="0068182D">
          <w:rPr>
            <w:rStyle w:val="a5"/>
            <w:rFonts w:eastAsiaTheme="majorEastAsia"/>
            <w:color w:val="auto"/>
            <w:sz w:val="28"/>
            <w:szCs w:val="28"/>
            <w:u w:val="none"/>
            <w:lang w:val="en-US"/>
          </w:rPr>
          <w:t>Michigan</w:t>
        </w:r>
      </w:hyperlink>
      <w:r w:rsidRPr="0068182D">
        <w:rPr>
          <w:sz w:val="28"/>
          <w:szCs w:val="28"/>
          <w:lang w:val="en-US"/>
        </w:rPr>
        <w:t>, the heart of the American automobile industry. Manufacturers have been attracted to Canada due to the highly educated population with lower labour costs than the United States. Canada's</w:t>
      </w:r>
      <w:r w:rsidRPr="0068182D">
        <w:rPr>
          <w:rStyle w:val="apple-converted-space"/>
          <w:sz w:val="28"/>
          <w:szCs w:val="28"/>
          <w:lang w:val="en-US"/>
        </w:rPr>
        <w:t> </w:t>
      </w:r>
      <w:hyperlink r:id="rId226" w:tooltip="Publicly funded health care" w:history="1">
        <w:r w:rsidRPr="0068182D">
          <w:rPr>
            <w:rStyle w:val="a5"/>
            <w:rFonts w:eastAsiaTheme="majorEastAsia"/>
            <w:color w:val="auto"/>
            <w:sz w:val="28"/>
            <w:szCs w:val="28"/>
            <w:u w:val="none"/>
            <w:lang w:val="en-US"/>
          </w:rPr>
          <w:t>publicly funded health care</w:t>
        </w:r>
      </w:hyperlink>
      <w:r w:rsidRPr="0068182D">
        <w:rPr>
          <w:rStyle w:val="apple-converted-space"/>
          <w:sz w:val="28"/>
          <w:szCs w:val="28"/>
          <w:lang w:val="en-US"/>
        </w:rPr>
        <w:t> </w:t>
      </w:r>
      <w:r w:rsidRPr="0068182D">
        <w:rPr>
          <w:sz w:val="28"/>
          <w:szCs w:val="28"/>
          <w:lang w:val="en-US"/>
        </w:rPr>
        <w:t>system is also an important attraction, as companies are exempt from the high health insurance costs US firms pay, though they are offset by corporate health care taxes.</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Much of the Canadian manufacturing industry consists of branch plants of United States firms, though there are some important domestic manufacturers, such as</w:t>
      </w:r>
      <w:r w:rsidRPr="0068182D">
        <w:rPr>
          <w:rStyle w:val="apple-converted-space"/>
          <w:sz w:val="28"/>
          <w:szCs w:val="28"/>
          <w:lang w:val="en-US"/>
        </w:rPr>
        <w:t> </w:t>
      </w:r>
      <w:hyperlink r:id="rId227" w:tooltip="Bombardier Inc." w:history="1">
        <w:r w:rsidRPr="0068182D">
          <w:rPr>
            <w:rStyle w:val="a5"/>
            <w:rFonts w:eastAsiaTheme="majorEastAsia"/>
            <w:color w:val="auto"/>
            <w:sz w:val="28"/>
            <w:szCs w:val="28"/>
            <w:u w:val="none"/>
            <w:lang w:val="en-US"/>
          </w:rPr>
          <w:t>Bombardier Inc.</w:t>
        </w:r>
      </w:hyperlink>
      <w:r w:rsidRPr="0068182D">
        <w:rPr>
          <w:sz w:val="28"/>
          <w:szCs w:val="28"/>
          <w:lang w:val="en-US"/>
        </w:rPr>
        <w:t>. This has raised several concerns for Canadians. Branch plants provide mainly</w:t>
      </w:r>
      <w:r w:rsidRPr="0068182D">
        <w:rPr>
          <w:rStyle w:val="apple-converted-space"/>
          <w:sz w:val="28"/>
          <w:szCs w:val="28"/>
          <w:lang w:val="en-US"/>
        </w:rPr>
        <w:t> </w:t>
      </w:r>
      <w:hyperlink r:id="rId228" w:tooltip="Blue-collar worker" w:history="1">
        <w:r w:rsidRPr="0068182D">
          <w:rPr>
            <w:rStyle w:val="a5"/>
            <w:rFonts w:eastAsiaTheme="majorEastAsia"/>
            <w:color w:val="auto"/>
            <w:sz w:val="28"/>
            <w:szCs w:val="28"/>
            <w:u w:val="none"/>
            <w:lang w:val="en-US"/>
          </w:rPr>
          <w:t>blue collar</w:t>
        </w:r>
      </w:hyperlink>
      <w:r w:rsidRPr="0068182D">
        <w:rPr>
          <w:rStyle w:val="apple-converted-space"/>
          <w:sz w:val="28"/>
          <w:szCs w:val="28"/>
          <w:lang w:val="en-US"/>
        </w:rPr>
        <w:t> </w:t>
      </w:r>
      <w:r w:rsidRPr="0068182D">
        <w:rPr>
          <w:sz w:val="28"/>
          <w:szCs w:val="28"/>
          <w:lang w:val="en-US"/>
        </w:rPr>
        <w:t>jobs, with research and executive positions confined to the United States.</w:t>
      </w:r>
    </w:p>
    <w:p w:rsidR="00606F59" w:rsidRPr="0068182D" w:rsidRDefault="00606F59" w:rsidP="00606F59">
      <w:pPr>
        <w:pStyle w:val="3"/>
        <w:shd w:val="clear" w:color="auto" w:fill="FFFFFF"/>
        <w:spacing w:before="0"/>
        <w:ind w:firstLine="567"/>
        <w:jc w:val="both"/>
        <w:rPr>
          <w:rFonts w:ascii="Times New Roman" w:hAnsi="Times New Roman" w:cs="Times New Roman"/>
          <w:color w:val="auto"/>
          <w:sz w:val="28"/>
          <w:szCs w:val="28"/>
          <w:lang w:val="en-US"/>
        </w:rPr>
      </w:pPr>
      <w:r w:rsidRPr="0068182D">
        <w:rPr>
          <w:rStyle w:val="mw-headline"/>
          <w:rFonts w:ascii="Times New Roman" w:hAnsi="Times New Roman" w:cs="Times New Roman"/>
          <w:color w:val="auto"/>
          <w:sz w:val="28"/>
          <w:szCs w:val="28"/>
          <w:lang w:val="en-US"/>
        </w:rPr>
        <w:t>Energy</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Canada is one of the few developed nations that is a net exporter of energy - in 2009 net exports of energy products amounted to 2.9% of GDP. Most important are the large oil and gas resources centred in Alberta and the Northern Territories, but also present in neighbouring</w:t>
      </w:r>
      <w:r w:rsidRPr="0068182D">
        <w:rPr>
          <w:rStyle w:val="apple-converted-space"/>
          <w:sz w:val="28"/>
          <w:szCs w:val="28"/>
          <w:lang w:val="en-US"/>
        </w:rPr>
        <w:t> </w:t>
      </w:r>
      <w:hyperlink r:id="rId229" w:tooltip="British Columbia" w:history="1">
        <w:r w:rsidRPr="0068182D">
          <w:rPr>
            <w:rStyle w:val="a5"/>
            <w:rFonts w:eastAsiaTheme="majorEastAsia"/>
            <w:color w:val="auto"/>
            <w:sz w:val="28"/>
            <w:szCs w:val="28"/>
            <w:u w:val="none"/>
            <w:lang w:val="en-US"/>
          </w:rPr>
          <w:t>British Columbia</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230" w:tooltip="Saskatchewan" w:history="1">
        <w:r w:rsidRPr="0068182D">
          <w:rPr>
            <w:rStyle w:val="a5"/>
            <w:rFonts w:eastAsiaTheme="majorEastAsia"/>
            <w:color w:val="auto"/>
            <w:sz w:val="28"/>
            <w:szCs w:val="28"/>
            <w:u w:val="none"/>
            <w:lang w:val="en-US"/>
          </w:rPr>
          <w:t>Saskatchewan</w:t>
        </w:r>
      </w:hyperlink>
      <w:r w:rsidRPr="0068182D">
        <w:rPr>
          <w:sz w:val="28"/>
          <w:szCs w:val="28"/>
          <w:lang w:val="en-US"/>
        </w:rPr>
        <w:t>. The vast</w:t>
      </w:r>
      <w:r w:rsidRPr="0068182D">
        <w:rPr>
          <w:rStyle w:val="apple-converted-space"/>
          <w:sz w:val="28"/>
          <w:szCs w:val="28"/>
          <w:lang w:val="en-US"/>
        </w:rPr>
        <w:t> </w:t>
      </w:r>
      <w:hyperlink r:id="rId231" w:tooltip="Athabasca oil sands" w:history="1">
        <w:r w:rsidRPr="0068182D">
          <w:rPr>
            <w:rStyle w:val="a5"/>
            <w:rFonts w:eastAsiaTheme="majorEastAsia"/>
            <w:color w:val="auto"/>
            <w:sz w:val="28"/>
            <w:szCs w:val="28"/>
            <w:u w:val="none"/>
            <w:lang w:val="en-US"/>
          </w:rPr>
          <w:t>Athabasca oil sands</w:t>
        </w:r>
      </w:hyperlink>
      <w:r w:rsidRPr="0068182D">
        <w:rPr>
          <w:rStyle w:val="apple-converted-space"/>
          <w:sz w:val="28"/>
          <w:szCs w:val="28"/>
          <w:lang w:val="en-US"/>
        </w:rPr>
        <w:t> </w:t>
      </w:r>
      <w:r w:rsidRPr="0068182D">
        <w:rPr>
          <w:sz w:val="28"/>
          <w:szCs w:val="28"/>
          <w:lang w:val="en-US"/>
        </w:rPr>
        <w:t>give Canada the world's third largest reserves of oil after Saudi Arabia and Venezuela according to</w:t>
      </w:r>
      <w:r w:rsidRPr="0068182D">
        <w:rPr>
          <w:rStyle w:val="apple-converted-space"/>
          <w:sz w:val="28"/>
          <w:szCs w:val="28"/>
          <w:lang w:val="en-US"/>
        </w:rPr>
        <w:t> </w:t>
      </w:r>
      <w:hyperlink r:id="rId232" w:tooltip="USGS" w:history="1">
        <w:r w:rsidRPr="0068182D">
          <w:rPr>
            <w:rStyle w:val="a5"/>
            <w:rFonts w:eastAsiaTheme="majorEastAsia"/>
            <w:color w:val="auto"/>
            <w:sz w:val="28"/>
            <w:szCs w:val="28"/>
            <w:u w:val="none"/>
            <w:lang w:val="en-US"/>
          </w:rPr>
          <w:t>USGS</w:t>
        </w:r>
      </w:hyperlink>
      <w:r w:rsidRPr="0068182D">
        <w:rPr>
          <w:sz w:val="28"/>
          <w:szCs w:val="28"/>
          <w:lang w:val="en-US"/>
        </w:rPr>
        <w:t>. In British Columbia and</w:t>
      </w:r>
      <w:r w:rsidRPr="0068182D">
        <w:rPr>
          <w:rStyle w:val="apple-converted-space"/>
          <w:sz w:val="28"/>
          <w:szCs w:val="28"/>
          <w:lang w:val="en-US"/>
        </w:rPr>
        <w:t> </w:t>
      </w:r>
      <w:hyperlink r:id="rId233" w:tooltip="Quebec" w:history="1">
        <w:r w:rsidRPr="0068182D">
          <w:rPr>
            <w:rStyle w:val="a5"/>
            <w:rFonts w:eastAsiaTheme="majorEastAsia"/>
            <w:color w:val="auto"/>
            <w:sz w:val="28"/>
            <w:szCs w:val="28"/>
            <w:u w:val="none"/>
            <w:lang w:val="en-US"/>
          </w:rPr>
          <w:t>Quebec</w:t>
        </w:r>
      </w:hyperlink>
      <w:r w:rsidRPr="0068182D">
        <w:rPr>
          <w:sz w:val="28"/>
          <w:szCs w:val="28"/>
          <w:lang w:val="en-US"/>
        </w:rPr>
        <w:t>, as well as Ontario, Saskatchewan, Manitoba and the Labrador region, hydroelectric power is an inexpensive and relatively environmentally friendly source of abundant energy. In part because of this, Canada is also one of the world's highest per capita consumers of energy.</w:t>
      </w:r>
      <w:r w:rsidRPr="0068182D">
        <w:rPr>
          <w:rStyle w:val="apple-converted-space"/>
          <w:sz w:val="28"/>
          <w:szCs w:val="28"/>
          <w:lang w:val="en-US"/>
        </w:rPr>
        <w:t> </w:t>
      </w:r>
      <w:r w:rsidRPr="0068182D">
        <w:rPr>
          <w:sz w:val="28"/>
          <w:szCs w:val="28"/>
          <w:lang w:val="en-US"/>
        </w:rPr>
        <w:t>Cheap energy has enabled the creation of several important industries, such as the large</w:t>
      </w:r>
      <w:r w:rsidRPr="0068182D">
        <w:rPr>
          <w:rStyle w:val="apple-converted-space"/>
          <w:sz w:val="28"/>
          <w:szCs w:val="28"/>
          <w:lang w:val="en-US"/>
        </w:rPr>
        <w:t> </w:t>
      </w:r>
      <w:hyperlink r:id="rId234" w:tooltip="Aluminium" w:history="1">
        <w:r w:rsidRPr="0068182D">
          <w:rPr>
            <w:rStyle w:val="a5"/>
            <w:rFonts w:eastAsiaTheme="majorEastAsia"/>
            <w:color w:val="auto"/>
            <w:sz w:val="28"/>
            <w:szCs w:val="28"/>
            <w:u w:val="none"/>
            <w:lang w:val="en-US"/>
          </w:rPr>
          <w:t>aluminium</w:t>
        </w:r>
      </w:hyperlink>
      <w:r w:rsidRPr="0068182D">
        <w:rPr>
          <w:rStyle w:val="apple-converted-space"/>
          <w:sz w:val="28"/>
          <w:szCs w:val="28"/>
          <w:lang w:val="en-US"/>
        </w:rPr>
        <w:t> </w:t>
      </w:r>
      <w:r w:rsidRPr="0068182D">
        <w:rPr>
          <w:sz w:val="28"/>
          <w:szCs w:val="28"/>
          <w:lang w:val="en-US"/>
        </w:rPr>
        <w:t>industries in British Columbia</w:t>
      </w:r>
      <w:r w:rsidRPr="0068182D">
        <w:rPr>
          <w:rStyle w:val="apple-converted-space"/>
          <w:sz w:val="28"/>
          <w:szCs w:val="28"/>
          <w:lang w:val="en-US"/>
        </w:rPr>
        <w:t> </w:t>
      </w:r>
      <w:r w:rsidRPr="0068182D">
        <w:rPr>
          <w:sz w:val="28"/>
          <w:szCs w:val="28"/>
          <w:lang w:val="en-US"/>
        </w:rPr>
        <w:t>and Quebec.</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Historically, an important issue in Canadian politics is the interplay between the oil and energy industry in</w:t>
      </w:r>
      <w:r w:rsidRPr="0068182D">
        <w:rPr>
          <w:rStyle w:val="apple-converted-space"/>
          <w:sz w:val="28"/>
          <w:szCs w:val="28"/>
          <w:lang w:val="en-US"/>
        </w:rPr>
        <w:t> </w:t>
      </w:r>
      <w:hyperlink r:id="rId235" w:tooltip="Western Canada" w:history="1">
        <w:r w:rsidRPr="0068182D">
          <w:rPr>
            <w:rStyle w:val="a5"/>
            <w:rFonts w:eastAsiaTheme="majorEastAsia"/>
            <w:color w:val="auto"/>
            <w:sz w:val="28"/>
            <w:szCs w:val="28"/>
            <w:u w:val="none"/>
            <w:lang w:val="en-US"/>
          </w:rPr>
          <w:t>Western Canada</w:t>
        </w:r>
      </w:hyperlink>
      <w:r w:rsidRPr="0068182D">
        <w:rPr>
          <w:rStyle w:val="apple-converted-space"/>
          <w:sz w:val="28"/>
          <w:szCs w:val="28"/>
          <w:lang w:val="en-US"/>
        </w:rPr>
        <w:t> </w:t>
      </w:r>
      <w:r w:rsidRPr="0068182D">
        <w:rPr>
          <w:sz w:val="28"/>
          <w:szCs w:val="28"/>
          <w:lang w:val="en-US"/>
        </w:rPr>
        <w:t>and the industrial heartland of Southern Ontario. Foreign investment in Western oil projects has fueled</w:t>
      </w:r>
      <w:r w:rsidRPr="0068182D">
        <w:rPr>
          <w:rStyle w:val="apple-converted-space"/>
          <w:sz w:val="28"/>
          <w:szCs w:val="28"/>
          <w:lang w:val="en-US"/>
        </w:rPr>
        <w:t> </w:t>
      </w:r>
      <w:hyperlink r:id="rId236" w:tooltip="Canada" w:history="1">
        <w:r w:rsidRPr="0068182D">
          <w:rPr>
            <w:rStyle w:val="a5"/>
            <w:rFonts w:eastAsiaTheme="majorEastAsia"/>
            <w:color w:val="auto"/>
            <w:sz w:val="28"/>
            <w:szCs w:val="28"/>
            <w:u w:val="none"/>
            <w:lang w:val="en-US"/>
          </w:rPr>
          <w:t>Canada</w:t>
        </w:r>
      </w:hyperlink>
      <w:r w:rsidRPr="0068182D">
        <w:rPr>
          <w:sz w:val="28"/>
          <w:szCs w:val="28"/>
          <w:lang w:val="en-US"/>
        </w:rPr>
        <w:t>'s rising dollar. This has raised the price of Ontario's manufacturing exports and made them less competitive, a problem similar to the</w:t>
      </w:r>
      <w:r w:rsidRPr="0068182D">
        <w:rPr>
          <w:rStyle w:val="apple-converted-space"/>
          <w:sz w:val="28"/>
          <w:szCs w:val="28"/>
          <w:lang w:val="en-US"/>
        </w:rPr>
        <w:t> </w:t>
      </w:r>
      <w:hyperlink r:id="rId237" w:tooltip="Dutch disease" w:history="1">
        <w:r w:rsidRPr="0068182D">
          <w:rPr>
            <w:rStyle w:val="a5"/>
            <w:rFonts w:eastAsiaTheme="majorEastAsia"/>
            <w:color w:val="auto"/>
            <w:sz w:val="28"/>
            <w:szCs w:val="28"/>
            <w:u w:val="none"/>
            <w:lang w:val="en-US"/>
          </w:rPr>
          <w:t>decline of the manufacturing sector in the Netherlands</w:t>
        </w:r>
      </w:hyperlink>
      <w:r w:rsidRPr="0068182D">
        <w:rPr>
          <w:sz w:val="28"/>
          <w:szCs w:val="28"/>
          <w:lang w:val="en-US"/>
        </w:rPr>
        <w:t>.</w:t>
      </w:r>
      <w:r w:rsidRPr="0068182D">
        <w:rPr>
          <w:rStyle w:val="apple-converted-space"/>
          <w:sz w:val="28"/>
          <w:szCs w:val="28"/>
          <w:lang w:val="en-US"/>
        </w:rPr>
        <w:t> </w:t>
      </w:r>
      <w:r w:rsidRPr="0068182D">
        <w:rPr>
          <w:sz w:val="28"/>
          <w:szCs w:val="28"/>
          <w:lang w:val="en-US"/>
        </w:rPr>
        <w:t>Also, Ontario has relatively fewer native sources of power. However, it is cheaper for Alberta to ship its oil to the western United States than to eastern Canada. The eastern Canadian ports thus import significant quantities of oil from overseas, and Ontario makes significant use of</w:t>
      </w:r>
      <w:r w:rsidRPr="0068182D">
        <w:rPr>
          <w:rStyle w:val="apple-converted-space"/>
          <w:sz w:val="28"/>
          <w:szCs w:val="28"/>
          <w:lang w:val="en-US"/>
        </w:rPr>
        <w:t> </w:t>
      </w:r>
      <w:hyperlink r:id="rId238" w:tooltip="Nuclear power in Canada" w:history="1">
        <w:r w:rsidRPr="0068182D">
          <w:rPr>
            <w:rStyle w:val="a5"/>
            <w:rFonts w:eastAsiaTheme="majorEastAsia"/>
            <w:color w:val="auto"/>
            <w:sz w:val="28"/>
            <w:szCs w:val="28"/>
            <w:u w:val="none"/>
            <w:lang w:val="en-US"/>
          </w:rPr>
          <w:t>nuclear power</w:t>
        </w:r>
      </w:hyperlink>
      <w:r w:rsidRPr="0068182D">
        <w:rPr>
          <w:sz w:val="28"/>
          <w:szCs w:val="28"/>
          <w:lang w:val="en-US"/>
        </w:rPr>
        <w:t>.</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w:t>
      </w:r>
      <w:r w:rsidRPr="0068182D">
        <w:rPr>
          <w:rStyle w:val="apple-converted-space"/>
          <w:sz w:val="28"/>
          <w:szCs w:val="28"/>
          <w:lang w:val="en-US"/>
        </w:rPr>
        <w:t> </w:t>
      </w:r>
      <w:hyperlink r:id="rId239" w:tooltip="National Energy Policy" w:history="1">
        <w:r w:rsidRPr="0068182D">
          <w:rPr>
            <w:rStyle w:val="a5"/>
            <w:rFonts w:eastAsiaTheme="majorEastAsia"/>
            <w:color w:val="auto"/>
            <w:sz w:val="28"/>
            <w:szCs w:val="28"/>
            <w:u w:val="none"/>
            <w:lang w:val="en-US"/>
          </w:rPr>
          <w:t>National Energy Policy</w:t>
        </w:r>
      </w:hyperlink>
      <w:r w:rsidRPr="0068182D">
        <w:rPr>
          <w:rStyle w:val="apple-converted-space"/>
          <w:sz w:val="28"/>
          <w:szCs w:val="28"/>
          <w:lang w:val="en-US"/>
        </w:rPr>
        <w:t> </w:t>
      </w:r>
      <w:r w:rsidRPr="0068182D">
        <w:rPr>
          <w:sz w:val="28"/>
          <w:szCs w:val="28"/>
          <w:lang w:val="en-US"/>
        </w:rPr>
        <w:t>of the early 1980s attempted to force Alberta to sell low priced oil to eastern Canada. This policy proved deeply divisive, and quickly lost its importance as oil prices collapsed in the mid-1980s. One of the most controversial sections of the</w:t>
      </w:r>
      <w:r w:rsidRPr="0068182D">
        <w:rPr>
          <w:rStyle w:val="apple-converted-space"/>
          <w:sz w:val="28"/>
          <w:szCs w:val="28"/>
          <w:lang w:val="en-US"/>
        </w:rPr>
        <w:t> </w:t>
      </w:r>
      <w:hyperlink r:id="rId240" w:tooltip="Canada-United States Free Trade Agreement" w:history="1">
        <w:r w:rsidRPr="0068182D">
          <w:rPr>
            <w:rStyle w:val="a5"/>
            <w:rFonts w:eastAsiaTheme="majorEastAsia"/>
            <w:color w:val="auto"/>
            <w:sz w:val="28"/>
            <w:szCs w:val="28"/>
            <w:u w:val="none"/>
            <w:lang w:val="en-US"/>
          </w:rPr>
          <w:t>Canada-United States Free Trade Agreement</w:t>
        </w:r>
      </w:hyperlink>
      <w:r w:rsidRPr="0068182D">
        <w:rPr>
          <w:rStyle w:val="apple-converted-space"/>
          <w:sz w:val="28"/>
          <w:szCs w:val="28"/>
          <w:lang w:val="en-US"/>
        </w:rPr>
        <w:t> </w:t>
      </w:r>
      <w:r w:rsidRPr="0068182D">
        <w:rPr>
          <w:sz w:val="28"/>
          <w:szCs w:val="28"/>
          <w:lang w:val="en-US"/>
        </w:rPr>
        <w:t>of 1988 was a promise that Canada would never charge the United States more for energy than fellow Canadians.</w:t>
      </w:r>
    </w:p>
    <w:p w:rsidR="00606F59" w:rsidRPr="0068182D" w:rsidRDefault="00606F59" w:rsidP="00606F59">
      <w:pPr>
        <w:pStyle w:val="3"/>
        <w:shd w:val="clear" w:color="auto" w:fill="FFFFFF"/>
        <w:spacing w:before="0"/>
        <w:ind w:firstLine="567"/>
        <w:jc w:val="both"/>
        <w:rPr>
          <w:rFonts w:ascii="Times New Roman" w:hAnsi="Times New Roman" w:cs="Times New Roman"/>
          <w:color w:val="auto"/>
          <w:sz w:val="28"/>
          <w:szCs w:val="28"/>
          <w:lang w:val="en-US"/>
        </w:rPr>
      </w:pPr>
      <w:r w:rsidRPr="0068182D">
        <w:rPr>
          <w:rStyle w:val="mw-headline"/>
          <w:rFonts w:ascii="Times New Roman" w:hAnsi="Times New Roman" w:cs="Times New Roman"/>
          <w:color w:val="auto"/>
          <w:sz w:val="28"/>
          <w:szCs w:val="28"/>
          <w:lang w:val="en-US"/>
        </w:rPr>
        <w:t>Agriculture</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Canada is also one of the world's largest suppliers of agricultural products, particularly of wheat and other grains.</w:t>
      </w:r>
      <w:r w:rsidRPr="0068182D">
        <w:rPr>
          <w:rStyle w:val="apple-converted-space"/>
          <w:sz w:val="28"/>
          <w:szCs w:val="28"/>
          <w:lang w:val="en-US"/>
        </w:rPr>
        <w:t> </w:t>
      </w:r>
      <w:r w:rsidRPr="0068182D">
        <w:rPr>
          <w:sz w:val="28"/>
          <w:szCs w:val="28"/>
          <w:lang w:val="en-US"/>
        </w:rPr>
        <w:t>Canada is a major exporter of agricultural products, to the United States and Asia. As with all other developed nations the proportion of the population and GDP devoted to agriculture fell dramatically over the 20th century.</w:t>
      </w:r>
    </w:p>
    <w:p w:rsidR="00606F59" w:rsidRPr="0068182D" w:rsidRDefault="00606F59" w:rsidP="00606F59">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As with other developed nations, the Canadian agriculture industry receives significant government subsidies and supports. However, Canada has been a strong supporter of reducing market influencing subsidies through the</w:t>
      </w:r>
      <w:r w:rsidRPr="0068182D">
        <w:rPr>
          <w:rStyle w:val="apple-converted-space"/>
          <w:sz w:val="28"/>
          <w:szCs w:val="28"/>
          <w:lang w:val="en-US"/>
        </w:rPr>
        <w:t> </w:t>
      </w:r>
      <w:hyperlink r:id="rId241" w:tooltip="World Trade Organization" w:history="1">
        <w:r w:rsidRPr="0068182D">
          <w:rPr>
            <w:rStyle w:val="a5"/>
            <w:rFonts w:eastAsiaTheme="majorEastAsia"/>
            <w:color w:val="auto"/>
            <w:sz w:val="28"/>
            <w:szCs w:val="28"/>
            <w:u w:val="none"/>
            <w:lang w:val="en-US"/>
          </w:rPr>
          <w:t>World Trade Organization</w:t>
        </w:r>
      </w:hyperlink>
      <w:r w:rsidRPr="0068182D">
        <w:rPr>
          <w:sz w:val="28"/>
          <w:szCs w:val="28"/>
          <w:lang w:val="en-US"/>
        </w:rPr>
        <w:t>. In 2000, Canada spent approximately CDN$4.6 billion on supports for the industry. Of this, $2.32 billion was classified under the WTO designation of "green box" support, meaning it did not directly influence the market, such as money for research or disaster relief. All but $848.2 million were subsidies worth less than 5% of the value of the crops they were provided for.</w:t>
      </w:r>
    </w:p>
    <w:p w:rsidR="00606F59" w:rsidRPr="0068182D" w:rsidRDefault="00606F59" w:rsidP="00606F59">
      <w:pPr>
        <w:tabs>
          <w:tab w:val="left" w:pos="180"/>
        </w:tabs>
        <w:spacing w:after="0" w:line="240" w:lineRule="auto"/>
        <w:ind w:firstLine="567"/>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2.</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composition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financial system</w:t>
      </w:r>
      <w:r w:rsidRPr="0068182D">
        <w:rPr>
          <w:rFonts w:ascii="Times New Roman" w:hAnsi="Times New Roman" w:cs="Times New Roman"/>
          <w:b/>
          <w:sz w:val="28"/>
          <w:szCs w:val="28"/>
          <w:lang w:val="en-US"/>
        </w:rPr>
        <w:t>.</w:t>
      </w:r>
    </w:p>
    <w:p w:rsidR="00606F59" w:rsidRPr="0068182D" w:rsidRDefault="00606F59" w:rsidP="00FF2DA0">
      <w:pPr>
        <w:pStyle w:val="a6"/>
        <w:shd w:val="clear" w:color="auto" w:fill="FFFFFF"/>
        <w:spacing w:before="0" w:beforeAutospacing="0" w:after="0" w:afterAutospacing="0"/>
        <w:ind w:firstLine="567"/>
        <w:jc w:val="both"/>
        <w:rPr>
          <w:sz w:val="28"/>
          <w:szCs w:val="28"/>
          <w:lang w:val="en-US"/>
        </w:rPr>
      </w:pPr>
    </w:p>
    <w:p w:rsidR="00606F59" w:rsidRPr="0068182D" w:rsidRDefault="00606F59" w:rsidP="00FF2DA0">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financial system is vital to the functioning of the economy and the welfare of Canadians.</w:t>
      </w:r>
    </w:p>
    <w:p w:rsidR="00606F59" w:rsidRPr="0068182D" w:rsidRDefault="00606F59" w:rsidP="00FF2DA0">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system includes financial institutions such as banks and credit unions, the financial markets, and clearing and settlement systems. It’s through the financial system that most commercial activity (saving; borrowing; and investing, buying and selling by means of debit and credit cards, cheques and e-money) is carried out.</w:t>
      </w:r>
    </w:p>
    <w:p w:rsidR="00606F59" w:rsidRPr="0068182D" w:rsidRDefault="00606F59" w:rsidP="00FF2DA0">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Bank works with other agencies and market participants to promote and maintain the safe and efficient operation of the key elements of the financial system by.</w:t>
      </w:r>
    </w:p>
    <w:p w:rsidR="00606F59" w:rsidRPr="0068182D" w:rsidRDefault="00CD577A" w:rsidP="000537F4">
      <w:pPr>
        <w:numPr>
          <w:ilvl w:val="0"/>
          <w:numId w:val="34"/>
        </w:numPr>
        <w:shd w:val="clear" w:color="auto" w:fill="FFFFFF"/>
        <w:tabs>
          <w:tab w:val="clear" w:pos="720"/>
          <w:tab w:val="num" w:pos="0"/>
        </w:tabs>
        <w:spacing w:after="0" w:line="240" w:lineRule="auto"/>
        <w:ind w:left="0" w:firstLine="567"/>
        <w:jc w:val="both"/>
        <w:rPr>
          <w:rFonts w:ascii="Times New Roman" w:hAnsi="Times New Roman" w:cs="Times New Roman"/>
          <w:sz w:val="28"/>
          <w:szCs w:val="28"/>
          <w:lang w:val="en-US"/>
        </w:rPr>
      </w:pPr>
      <w:hyperlink r:id="rId242" w:anchor="overseeing" w:history="1">
        <w:r w:rsidR="00606F59" w:rsidRPr="0068182D">
          <w:rPr>
            <w:rFonts w:ascii="Times New Roman" w:hAnsi="Times New Roman" w:cs="Times New Roman"/>
            <w:sz w:val="28"/>
            <w:szCs w:val="28"/>
            <w:lang w:val="en-US"/>
          </w:rPr>
          <w:t>overseeing</w:t>
        </w:r>
      </w:hyperlink>
      <w:r w:rsidR="00606F59" w:rsidRPr="0068182D">
        <w:rPr>
          <w:rFonts w:ascii="Times New Roman" w:hAnsi="Times New Roman" w:cs="Times New Roman"/>
          <w:sz w:val="28"/>
          <w:szCs w:val="28"/>
          <w:lang w:val="en-US"/>
        </w:rPr>
        <w:t> major clearing and settlement systems, also known as financial market infrastructures (FMIs)</w:t>
      </w:r>
    </w:p>
    <w:p w:rsidR="00606F59" w:rsidRPr="0068182D" w:rsidRDefault="00606F59" w:rsidP="000537F4">
      <w:pPr>
        <w:numPr>
          <w:ilvl w:val="0"/>
          <w:numId w:val="34"/>
        </w:numPr>
        <w:shd w:val="clear" w:color="auto" w:fill="FFFFFF"/>
        <w:tabs>
          <w:tab w:val="clear" w:pos="720"/>
          <w:tab w:val="num" w:pos="0"/>
        </w:tabs>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providing banking services to these systems and their participants</w:t>
      </w:r>
    </w:p>
    <w:p w:rsidR="00606F59" w:rsidRPr="0068182D" w:rsidRDefault="00606F59" w:rsidP="000537F4">
      <w:pPr>
        <w:numPr>
          <w:ilvl w:val="0"/>
          <w:numId w:val="34"/>
        </w:numPr>
        <w:shd w:val="clear" w:color="auto" w:fill="FFFFFF"/>
        <w:tabs>
          <w:tab w:val="clear" w:pos="720"/>
          <w:tab w:val="num" w:pos="0"/>
        </w:tabs>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working jointly with other domestic and </w:t>
      </w:r>
      <w:hyperlink r:id="rId243" w:anchor="international-bodies" w:history="1">
        <w:r w:rsidRPr="0068182D">
          <w:rPr>
            <w:rFonts w:ascii="Times New Roman" w:hAnsi="Times New Roman" w:cs="Times New Roman"/>
            <w:sz w:val="28"/>
            <w:szCs w:val="28"/>
            <w:lang w:val="en-US"/>
          </w:rPr>
          <w:t>international bodies</w:t>
        </w:r>
      </w:hyperlink>
      <w:r w:rsidRPr="0068182D">
        <w:rPr>
          <w:rFonts w:ascii="Times New Roman" w:hAnsi="Times New Roman" w:cs="Times New Roman"/>
          <w:sz w:val="28"/>
          <w:szCs w:val="28"/>
          <w:lang w:val="en-US"/>
        </w:rPr>
        <w:t> involved in financial-stability issues</w:t>
      </w:r>
    </w:p>
    <w:p w:rsidR="00606F59" w:rsidRPr="0068182D" w:rsidRDefault="00CD577A" w:rsidP="000537F4">
      <w:pPr>
        <w:numPr>
          <w:ilvl w:val="0"/>
          <w:numId w:val="34"/>
        </w:numPr>
        <w:shd w:val="clear" w:color="auto" w:fill="FFFFFF"/>
        <w:tabs>
          <w:tab w:val="clear" w:pos="720"/>
          <w:tab w:val="num" w:pos="0"/>
        </w:tabs>
        <w:spacing w:after="0" w:line="240" w:lineRule="auto"/>
        <w:ind w:left="0" w:firstLine="567"/>
        <w:jc w:val="both"/>
        <w:rPr>
          <w:rFonts w:ascii="Times New Roman" w:hAnsi="Times New Roman" w:cs="Times New Roman"/>
          <w:sz w:val="28"/>
          <w:szCs w:val="28"/>
        </w:rPr>
      </w:pPr>
      <w:hyperlink r:id="rId244" w:anchor="provision-of-liquidity" w:history="1">
        <w:r w:rsidR="00606F59" w:rsidRPr="0068182D">
          <w:rPr>
            <w:rFonts w:ascii="Times New Roman" w:hAnsi="Times New Roman" w:cs="Times New Roman"/>
            <w:sz w:val="28"/>
            <w:szCs w:val="28"/>
          </w:rPr>
          <w:t>providing liquidity to the system</w:t>
        </w:r>
      </w:hyperlink>
    </w:p>
    <w:p w:rsidR="00606F59" w:rsidRPr="0068182D" w:rsidRDefault="00606F59" w:rsidP="000537F4">
      <w:pPr>
        <w:numPr>
          <w:ilvl w:val="0"/>
          <w:numId w:val="34"/>
        </w:numPr>
        <w:shd w:val="clear" w:color="auto" w:fill="FFFFFF"/>
        <w:tabs>
          <w:tab w:val="clear" w:pos="720"/>
          <w:tab w:val="num" w:pos="0"/>
        </w:tabs>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giving policy advice to the federal government on the design and development of the financial system</w:t>
      </w:r>
    </w:p>
    <w:p w:rsidR="00606F59" w:rsidRPr="0068182D" w:rsidRDefault="00606F59" w:rsidP="00FF2DA0">
      <w:pPr>
        <w:pStyle w:val="a6"/>
        <w:shd w:val="clear" w:color="auto" w:fill="FFFFFF"/>
        <w:spacing w:before="0" w:beforeAutospacing="0" w:after="0" w:afterAutospacing="0"/>
        <w:ind w:firstLine="567"/>
        <w:jc w:val="both"/>
        <w:rPr>
          <w:sz w:val="28"/>
          <w:szCs w:val="28"/>
          <w:lang w:val="en-US"/>
        </w:rPr>
      </w:pPr>
    </w:p>
    <w:p w:rsidR="00606F59" w:rsidRPr="0068182D" w:rsidRDefault="00606F59" w:rsidP="009663D3">
      <w:pPr>
        <w:pStyle w:val="2"/>
        <w:shd w:val="clear" w:color="auto" w:fill="FFFFFF"/>
        <w:spacing w:before="0" w:beforeAutospacing="0" w:after="0" w:afterAutospacing="0"/>
        <w:ind w:firstLine="567"/>
        <w:jc w:val="both"/>
        <w:rPr>
          <w:bCs w:val="0"/>
          <w:spacing w:val="5"/>
          <w:sz w:val="28"/>
          <w:szCs w:val="28"/>
          <w:lang w:val="en-US"/>
        </w:rPr>
      </w:pPr>
      <w:r w:rsidRPr="0068182D">
        <w:rPr>
          <w:bCs w:val="0"/>
          <w:spacing w:val="5"/>
          <w:sz w:val="28"/>
          <w:szCs w:val="28"/>
          <w:lang w:val="en-US"/>
        </w:rPr>
        <w:t>Oversight of Financial Market Infrastructures</w:t>
      </w:r>
    </w:p>
    <w:p w:rsidR="00606F59" w:rsidRPr="0068182D" w:rsidRDefault="00CD577A" w:rsidP="009663D3">
      <w:pPr>
        <w:pStyle w:val="3"/>
        <w:keepNext w:val="0"/>
        <w:keepLines w:val="0"/>
        <w:numPr>
          <w:ilvl w:val="0"/>
          <w:numId w:val="35"/>
        </w:numPr>
        <w:shd w:val="clear" w:color="auto" w:fill="FFFFFF"/>
        <w:spacing w:before="0" w:line="240" w:lineRule="auto"/>
        <w:jc w:val="both"/>
        <w:rPr>
          <w:rFonts w:ascii="Times New Roman" w:hAnsi="Times New Roman" w:cs="Times New Roman"/>
          <w:b w:val="0"/>
          <w:bCs w:val="0"/>
          <w:color w:val="auto"/>
          <w:sz w:val="28"/>
          <w:szCs w:val="28"/>
          <w:lang w:val="en-US"/>
        </w:rPr>
      </w:pPr>
      <w:hyperlink r:id="rId245" w:history="1">
        <w:r w:rsidR="00606F59" w:rsidRPr="0068182D">
          <w:rPr>
            <w:rStyle w:val="a5"/>
            <w:rFonts w:ascii="Times New Roman" w:hAnsi="Times New Roman" w:cs="Times New Roman"/>
            <w:color w:val="auto"/>
            <w:sz w:val="28"/>
            <w:szCs w:val="28"/>
            <w:u w:val="none"/>
            <w:lang w:val="en-US"/>
          </w:rPr>
          <w:t>Regulatory Oversight of Designated Clearing and Settlement Systems</w:t>
        </w:r>
      </w:hyperlink>
    </w:p>
    <w:p w:rsidR="00606F59" w:rsidRPr="0068182D" w:rsidRDefault="00606F59" w:rsidP="009663D3">
      <w:pPr>
        <w:pStyle w:val="a6"/>
        <w:shd w:val="clear" w:color="auto" w:fill="FFFFFF"/>
        <w:spacing w:before="0" w:beforeAutospacing="0" w:after="0" w:afterAutospacing="0"/>
        <w:ind w:left="720"/>
        <w:jc w:val="both"/>
        <w:rPr>
          <w:sz w:val="28"/>
          <w:szCs w:val="28"/>
          <w:lang w:val="en-US"/>
        </w:rPr>
      </w:pPr>
      <w:r w:rsidRPr="0068182D">
        <w:rPr>
          <w:sz w:val="28"/>
          <w:szCs w:val="28"/>
          <w:lang w:val="en-US"/>
        </w:rPr>
        <w:t>Learn about the Bank’s role in overseeing financial market infrastructure (FMIs), its oversight responsibilities and powers under Canada’s Payment Clearing and Settlement Act, and which FMIs are considered systemically important.</w:t>
      </w:r>
    </w:p>
    <w:p w:rsidR="00606F59" w:rsidRPr="0068182D" w:rsidRDefault="00CD577A" w:rsidP="009663D3">
      <w:pPr>
        <w:pStyle w:val="3"/>
        <w:keepNext w:val="0"/>
        <w:keepLines w:val="0"/>
        <w:numPr>
          <w:ilvl w:val="0"/>
          <w:numId w:val="35"/>
        </w:numPr>
        <w:shd w:val="clear" w:color="auto" w:fill="FFFFFF"/>
        <w:spacing w:before="0" w:line="240" w:lineRule="auto"/>
        <w:jc w:val="both"/>
        <w:rPr>
          <w:rFonts w:ascii="Times New Roman" w:hAnsi="Times New Roman" w:cs="Times New Roman"/>
          <w:b w:val="0"/>
          <w:bCs w:val="0"/>
          <w:color w:val="auto"/>
          <w:sz w:val="28"/>
          <w:szCs w:val="28"/>
          <w:lang w:val="en-US"/>
        </w:rPr>
      </w:pPr>
      <w:hyperlink r:id="rId246" w:history="1">
        <w:r w:rsidR="00606F59" w:rsidRPr="0068182D">
          <w:rPr>
            <w:rStyle w:val="a5"/>
            <w:rFonts w:ascii="Times New Roman" w:hAnsi="Times New Roman" w:cs="Times New Roman"/>
            <w:color w:val="auto"/>
            <w:sz w:val="28"/>
            <w:szCs w:val="28"/>
            <w:u w:val="none"/>
            <w:lang w:val="en-US"/>
          </w:rPr>
          <w:t>Canada's Major Payments Systems</w:t>
        </w:r>
      </w:hyperlink>
    </w:p>
    <w:p w:rsidR="00606F59" w:rsidRPr="0068182D" w:rsidRDefault="00606F59" w:rsidP="009663D3">
      <w:pPr>
        <w:pStyle w:val="a6"/>
        <w:shd w:val="clear" w:color="auto" w:fill="FFFFFF"/>
        <w:spacing w:before="0" w:beforeAutospacing="0" w:after="0" w:afterAutospacing="0"/>
        <w:ind w:left="720"/>
        <w:jc w:val="both"/>
        <w:rPr>
          <w:sz w:val="28"/>
          <w:szCs w:val="28"/>
          <w:lang w:val="en-US"/>
        </w:rPr>
      </w:pPr>
      <w:r w:rsidRPr="0068182D">
        <w:rPr>
          <w:sz w:val="28"/>
          <w:szCs w:val="28"/>
          <w:lang w:val="en-US"/>
        </w:rPr>
        <w:t>Learn about Canada’s two major payments systems, and about how payments are cleared and settled. Read about Payments Canada, the owner and operator of Canada’s Large Value Transfer System (LVTS) and the Automated Clearing Settlement System (ACSS).</w:t>
      </w:r>
    </w:p>
    <w:p w:rsidR="00606F59" w:rsidRPr="0068182D" w:rsidRDefault="00CD577A" w:rsidP="009663D3">
      <w:pPr>
        <w:pStyle w:val="3"/>
        <w:shd w:val="clear" w:color="auto" w:fill="FFFFFF"/>
        <w:spacing w:before="0"/>
        <w:ind w:left="720"/>
        <w:jc w:val="both"/>
        <w:rPr>
          <w:rFonts w:ascii="Times New Roman" w:hAnsi="Times New Roman" w:cs="Times New Roman"/>
          <w:b w:val="0"/>
          <w:bCs w:val="0"/>
          <w:color w:val="auto"/>
          <w:sz w:val="28"/>
          <w:szCs w:val="28"/>
          <w:lang w:val="en-US"/>
        </w:rPr>
      </w:pPr>
      <w:hyperlink r:id="rId247" w:history="1">
        <w:r w:rsidR="00606F59" w:rsidRPr="0068182D">
          <w:rPr>
            <w:rStyle w:val="a5"/>
            <w:rFonts w:ascii="Times New Roman" w:hAnsi="Times New Roman" w:cs="Times New Roman"/>
            <w:color w:val="auto"/>
            <w:sz w:val="28"/>
            <w:szCs w:val="28"/>
            <w:u w:val="none"/>
            <w:lang w:val="en-US"/>
          </w:rPr>
          <w:t>The Bank of Canada’s Risk-Management Standards for Systemic FMIs</w:t>
        </w:r>
      </w:hyperlink>
    </w:p>
    <w:p w:rsidR="00606F59" w:rsidRPr="0068182D" w:rsidRDefault="00606F59" w:rsidP="009663D3">
      <w:pPr>
        <w:pStyle w:val="a6"/>
        <w:numPr>
          <w:ilvl w:val="0"/>
          <w:numId w:val="35"/>
        </w:numPr>
        <w:shd w:val="clear" w:color="auto" w:fill="FFFFFF"/>
        <w:spacing w:before="0" w:beforeAutospacing="0" w:after="0" w:afterAutospacing="0"/>
        <w:jc w:val="both"/>
        <w:rPr>
          <w:sz w:val="28"/>
          <w:szCs w:val="28"/>
          <w:lang w:val="en-US"/>
        </w:rPr>
      </w:pPr>
      <w:r w:rsidRPr="0068182D">
        <w:rPr>
          <w:sz w:val="28"/>
          <w:szCs w:val="28"/>
          <w:lang w:val="en-US"/>
        </w:rPr>
        <w:t>The Bank of Canada’s risk-management standards and their application to different types of designated financial market infrastructures (FMIs).</w:t>
      </w:r>
    </w:p>
    <w:p w:rsidR="00606F59" w:rsidRPr="0068182D" w:rsidRDefault="00CD577A" w:rsidP="009663D3">
      <w:pPr>
        <w:pStyle w:val="3"/>
        <w:shd w:val="clear" w:color="auto" w:fill="FFFFFF"/>
        <w:spacing w:before="0"/>
        <w:ind w:left="720"/>
        <w:jc w:val="both"/>
        <w:rPr>
          <w:rFonts w:ascii="Times New Roman" w:hAnsi="Times New Roman" w:cs="Times New Roman"/>
          <w:b w:val="0"/>
          <w:bCs w:val="0"/>
          <w:color w:val="auto"/>
          <w:sz w:val="28"/>
          <w:szCs w:val="28"/>
          <w:lang w:val="en-US"/>
        </w:rPr>
      </w:pPr>
      <w:hyperlink r:id="rId248" w:history="1">
        <w:r w:rsidR="00606F59" w:rsidRPr="0068182D">
          <w:rPr>
            <w:rStyle w:val="a5"/>
            <w:rFonts w:ascii="Times New Roman" w:hAnsi="Times New Roman" w:cs="Times New Roman"/>
            <w:color w:val="auto"/>
            <w:sz w:val="28"/>
            <w:szCs w:val="28"/>
            <w:u w:val="none"/>
            <w:lang w:val="en-US"/>
          </w:rPr>
          <w:t>Clearing and Settlement Systems</w:t>
        </w:r>
      </w:hyperlink>
    </w:p>
    <w:p w:rsidR="00606F59" w:rsidRPr="0068182D" w:rsidRDefault="00606F59" w:rsidP="009663D3">
      <w:pPr>
        <w:pStyle w:val="a6"/>
        <w:numPr>
          <w:ilvl w:val="0"/>
          <w:numId w:val="35"/>
        </w:numPr>
        <w:shd w:val="clear" w:color="auto" w:fill="FFFFFF"/>
        <w:spacing w:before="0" w:beforeAutospacing="0" w:after="0" w:afterAutospacing="0"/>
        <w:jc w:val="both"/>
        <w:rPr>
          <w:sz w:val="28"/>
          <w:szCs w:val="28"/>
          <w:lang w:val="en-US"/>
        </w:rPr>
      </w:pPr>
      <w:r w:rsidRPr="0068182D">
        <w:rPr>
          <w:sz w:val="28"/>
          <w:szCs w:val="28"/>
          <w:lang w:val="en-US"/>
        </w:rPr>
        <w:t>Here are the agencies and initiatives that help ensure the integrity and stability of the financial system and allow market participants to comply with mandated clearing requirements.</w:t>
      </w:r>
    </w:p>
    <w:p w:rsidR="00606F59" w:rsidRPr="0068182D" w:rsidRDefault="00606F59" w:rsidP="009663D3">
      <w:pPr>
        <w:shd w:val="clear" w:color="auto" w:fill="FFFFFF"/>
        <w:spacing w:after="0" w:line="240" w:lineRule="auto"/>
        <w:ind w:firstLine="360"/>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 financial market infrastructure (FMI) is a system that facilitates the clearing, settling or recording of payments, securities, derivatives or other financial transactions among participating entities. It’s also called a "clearing and settlement system." FMIs play an important role in enhancing financial stability by enabling consumers and firms to safely and efficiently purchase goods and services, make financial investments, and transfer funds.</w:t>
      </w:r>
    </w:p>
    <w:p w:rsidR="00606F59" w:rsidRPr="0068182D" w:rsidRDefault="00606F59" w:rsidP="009663D3">
      <w:pPr>
        <w:shd w:val="clear" w:color="auto" w:fill="FFFFFF"/>
        <w:spacing w:after="0" w:line="240" w:lineRule="auto"/>
        <w:ind w:firstLine="360"/>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Under the Payment Clearing and Settlement Act, the Bank is responsible for the oversight of FMI that have the potential to pose systemic or payments system risk. These include three types of designated FMIs:</w:t>
      </w:r>
    </w:p>
    <w:p w:rsidR="00606F59" w:rsidRPr="0068182D" w:rsidRDefault="00606F59" w:rsidP="009663D3">
      <w:pPr>
        <w:numPr>
          <w:ilvl w:val="0"/>
          <w:numId w:val="37"/>
        </w:numPr>
        <w:shd w:val="clear" w:color="auto" w:fill="FFFFFF"/>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payments systems (PSs) – which facilitate the transfer of funds;</w:t>
      </w:r>
    </w:p>
    <w:p w:rsidR="00606F59" w:rsidRPr="0068182D" w:rsidRDefault="00606F59" w:rsidP="009663D3">
      <w:pPr>
        <w:numPr>
          <w:ilvl w:val="0"/>
          <w:numId w:val="37"/>
        </w:numPr>
        <w:shd w:val="clear" w:color="auto" w:fill="FFFFFF"/>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central counterparties (CCPs) – which become the buyer to every seller and the seller to every buyer of a financial contract to ensure that, even if a buyer or a seller fails to meet its obligation to the CCP, obligations will be met on all contracts; and</w:t>
      </w:r>
    </w:p>
    <w:p w:rsidR="00606F59" w:rsidRPr="0068182D" w:rsidRDefault="00606F59" w:rsidP="009663D3">
      <w:pPr>
        <w:numPr>
          <w:ilvl w:val="0"/>
          <w:numId w:val="37"/>
        </w:numPr>
        <w:shd w:val="clear" w:color="auto" w:fill="FFFFFF"/>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securities settlement systems (SSSs) – which facilitate the transfer of securities and other financial assets. These systems often operate in conjunction with central securities depositories (CSDs), which provide securities accounts, central safekeeping and asset services. Securities settlement systems may provide additional securities clearing and settlement services, such as CCP clearing services.</w:t>
      </w:r>
    </w:p>
    <w:p w:rsidR="00606F59" w:rsidRPr="0068182D" w:rsidRDefault="00606F59" w:rsidP="009663D3">
      <w:pPr>
        <w:pStyle w:val="2"/>
        <w:shd w:val="clear" w:color="auto" w:fill="FFFFFF"/>
        <w:spacing w:before="0" w:beforeAutospacing="0" w:after="0" w:afterAutospacing="0"/>
        <w:ind w:firstLine="360"/>
        <w:jc w:val="both"/>
        <w:rPr>
          <w:bCs w:val="0"/>
          <w:spacing w:val="5"/>
          <w:sz w:val="28"/>
          <w:szCs w:val="28"/>
          <w:lang w:val="en-US"/>
        </w:rPr>
      </w:pPr>
      <w:r w:rsidRPr="0068182D">
        <w:rPr>
          <w:bCs w:val="0"/>
          <w:spacing w:val="5"/>
          <w:sz w:val="28"/>
          <w:szCs w:val="28"/>
          <w:lang w:val="en-US"/>
        </w:rPr>
        <w:t>Systemically important FMIs</w:t>
      </w:r>
    </w:p>
    <w:p w:rsidR="00606F59" w:rsidRPr="0068182D" w:rsidRDefault="00606F59" w:rsidP="009663D3">
      <w:pPr>
        <w:pStyle w:val="a6"/>
        <w:shd w:val="clear" w:color="auto" w:fill="FFFFFF"/>
        <w:spacing w:before="0" w:beforeAutospacing="0" w:after="0" w:afterAutospacing="0"/>
        <w:ind w:firstLine="360"/>
        <w:jc w:val="both"/>
        <w:rPr>
          <w:sz w:val="28"/>
          <w:szCs w:val="28"/>
          <w:lang w:val="en-US"/>
        </w:rPr>
      </w:pPr>
      <w:r w:rsidRPr="0068182D">
        <w:rPr>
          <w:sz w:val="28"/>
          <w:szCs w:val="28"/>
          <w:lang w:val="en-US"/>
        </w:rPr>
        <w:t>Some FMIs have the potential to pose systemic risk to Canada’s financial system, in that the inability of one participant to meet its obligations to the FMI could, by transmitting financial problems through the FMI, cause other participants to be unable to meet their obligations. It is therefore essential that FMIs incorporate appropriate risk-control mechanisms so that systemic risk is adequately controlled. The objectives of the Bank in its oversight role are to ensure that systemically important FMIs operate in such a manner that risk is properly controlled and to promote efficiency and stability in the Canadian financial system.</w:t>
      </w:r>
    </w:p>
    <w:p w:rsidR="00606F59" w:rsidRPr="0068182D" w:rsidRDefault="00606F59" w:rsidP="009663D3">
      <w:pPr>
        <w:pStyle w:val="a6"/>
        <w:shd w:val="clear" w:color="auto" w:fill="FFFFFF"/>
        <w:spacing w:before="0" w:beforeAutospacing="0" w:after="0" w:afterAutospacing="0"/>
        <w:ind w:firstLine="360"/>
        <w:jc w:val="both"/>
        <w:rPr>
          <w:sz w:val="28"/>
          <w:szCs w:val="28"/>
          <w:lang w:val="en-US"/>
        </w:rPr>
      </w:pPr>
      <w:r w:rsidRPr="0068182D">
        <w:rPr>
          <w:sz w:val="28"/>
          <w:szCs w:val="28"/>
          <w:lang w:val="en-US"/>
        </w:rPr>
        <w:t>The Governor of the Bank of Canada has designated the following FMIs as systemically important to Canada’s financial system and subject to the Bank’s oversight:</w:t>
      </w:r>
    </w:p>
    <w:p w:rsidR="00606F59" w:rsidRPr="0068182D" w:rsidRDefault="00606F59" w:rsidP="009663D3">
      <w:pPr>
        <w:numPr>
          <w:ilvl w:val="0"/>
          <w:numId w:val="38"/>
        </w:numPr>
        <w:shd w:val="clear" w:color="auto" w:fill="FFFFFF"/>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w:t>
      </w:r>
      <w:r w:rsidRPr="0068182D">
        <w:rPr>
          <w:rStyle w:val="apple-converted-space"/>
          <w:rFonts w:ascii="Times New Roman" w:hAnsi="Times New Roman" w:cs="Times New Roman"/>
          <w:sz w:val="28"/>
          <w:szCs w:val="28"/>
          <w:lang w:val="en-US"/>
        </w:rPr>
        <w:t> </w:t>
      </w:r>
      <w:hyperlink r:id="rId249" w:anchor="lvts" w:history="1">
        <w:r w:rsidRPr="0068182D">
          <w:rPr>
            <w:rStyle w:val="a5"/>
            <w:rFonts w:ascii="Times New Roman" w:hAnsi="Times New Roman" w:cs="Times New Roman"/>
            <w:color w:val="auto"/>
            <w:sz w:val="28"/>
            <w:szCs w:val="28"/>
            <w:u w:val="none"/>
            <w:lang w:val="en-US"/>
          </w:rPr>
          <w:t>Large Value Transfer System (LVTS)</w:t>
        </w:r>
      </w:hyperlink>
      <w:r w:rsidRPr="0068182D">
        <w:rPr>
          <w:rFonts w:ascii="Times New Roman" w:hAnsi="Times New Roman" w:cs="Times New Roman"/>
          <w:sz w:val="28"/>
          <w:szCs w:val="28"/>
          <w:lang w:val="en-US"/>
        </w:rPr>
        <w:t>, a Canadian electronic funds-transfer system that settles large-value and time-critical Canadian-dollar payments;</w:t>
      </w:r>
    </w:p>
    <w:p w:rsidR="00606F59" w:rsidRPr="0068182D" w:rsidRDefault="00CD577A" w:rsidP="009663D3">
      <w:pPr>
        <w:numPr>
          <w:ilvl w:val="0"/>
          <w:numId w:val="38"/>
        </w:numPr>
        <w:shd w:val="clear" w:color="auto" w:fill="FFFFFF"/>
        <w:spacing w:after="0" w:line="240" w:lineRule="auto"/>
        <w:jc w:val="both"/>
        <w:rPr>
          <w:rFonts w:ascii="Times New Roman" w:hAnsi="Times New Roman" w:cs="Times New Roman"/>
          <w:sz w:val="28"/>
          <w:szCs w:val="28"/>
          <w:lang w:val="en-US"/>
        </w:rPr>
      </w:pPr>
      <w:hyperlink r:id="rId250" w:anchor="securities" w:history="1">
        <w:r w:rsidR="00606F59" w:rsidRPr="0068182D">
          <w:rPr>
            <w:rStyle w:val="a5"/>
            <w:rFonts w:ascii="Times New Roman" w:hAnsi="Times New Roman" w:cs="Times New Roman"/>
            <w:color w:val="auto"/>
            <w:sz w:val="28"/>
            <w:szCs w:val="28"/>
            <w:u w:val="none"/>
            <w:lang w:val="en-US"/>
          </w:rPr>
          <w:t>CDSX</w:t>
        </w:r>
      </w:hyperlink>
      <w:r w:rsidR="00606F59" w:rsidRPr="0068182D">
        <w:rPr>
          <w:rFonts w:ascii="Times New Roman" w:hAnsi="Times New Roman" w:cs="Times New Roman"/>
          <w:sz w:val="28"/>
          <w:szCs w:val="28"/>
          <w:lang w:val="en-US"/>
        </w:rPr>
        <w:t>, a Canadian system that consists of a central securities depository and a securities settlement system for eligible exchange-traded and over-the-counter equity, debt and money market transactions, as well as a central counterparty service for eligible exchange-traded and over-the-counter equity transactions;</w:t>
      </w:r>
    </w:p>
    <w:p w:rsidR="00606F59" w:rsidRPr="0068182D" w:rsidRDefault="00CD577A" w:rsidP="009663D3">
      <w:pPr>
        <w:numPr>
          <w:ilvl w:val="0"/>
          <w:numId w:val="38"/>
        </w:numPr>
        <w:shd w:val="clear" w:color="auto" w:fill="FFFFFF"/>
        <w:spacing w:after="0" w:line="240" w:lineRule="auto"/>
        <w:jc w:val="both"/>
        <w:rPr>
          <w:rFonts w:ascii="Times New Roman" w:hAnsi="Times New Roman" w:cs="Times New Roman"/>
          <w:sz w:val="28"/>
          <w:szCs w:val="28"/>
          <w:lang w:val="en-US"/>
        </w:rPr>
      </w:pPr>
      <w:hyperlink r:id="rId251" w:anchor="corporation" w:history="1">
        <w:r w:rsidR="00606F59" w:rsidRPr="0068182D">
          <w:rPr>
            <w:rStyle w:val="a5"/>
            <w:rFonts w:ascii="Times New Roman" w:hAnsi="Times New Roman" w:cs="Times New Roman"/>
            <w:color w:val="auto"/>
            <w:sz w:val="28"/>
            <w:szCs w:val="28"/>
            <w:u w:val="none"/>
            <w:lang w:val="en-US"/>
          </w:rPr>
          <w:t>Canadian Derivatives Clearing Service (CDCS)</w:t>
        </w:r>
      </w:hyperlink>
      <w:r w:rsidR="00606F59" w:rsidRPr="0068182D">
        <w:rPr>
          <w:rFonts w:ascii="Times New Roman" w:hAnsi="Times New Roman" w:cs="Times New Roman"/>
          <w:sz w:val="28"/>
          <w:szCs w:val="28"/>
          <w:lang w:val="en-US"/>
        </w:rPr>
        <w:t>, a Canadian central counterparty that clears transactions in certain fixed-income securities, repurchase agreements (repos), equity derivatives, and all derivatives traded on the Montréal Exchange;</w:t>
      </w:r>
    </w:p>
    <w:p w:rsidR="00606F59" w:rsidRPr="0068182D" w:rsidRDefault="00CD577A" w:rsidP="009663D3">
      <w:pPr>
        <w:numPr>
          <w:ilvl w:val="0"/>
          <w:numId w:val="38"/>
        </w:numPr>
        <w:shd w:val="clear" w:color="auto" w:fill="FFFFFF"/>
        <w:spacing w:after="0" w:line="240" w:lineRule="auto"/>
        <w:jc w:val="both"/>
        <w:rPr>
          <w:rFonts w:ascii="Times New Roman" w:hAnsi="Times New Roman" w:cs="Times New Roman"/>
          <w:sz w:val="28"/>
          <w:szCs w:val="28"/>
          <w:lang w:val="en-US"/>
        </w:rPr>
      </w:pPr>
      <w:hyperlink r:id="rId252" w:anchor="cls" w:history="1">
        <w:r w:rsidR="00606F59" w:rsidRPr="0068182D">
          <w:rPr>
            <w:rStyle w:val="a5"/>
            <w:rFonts w:ascii="Times New Roman" w:hAnsi="Times New Roman" w:cs="Times New Roman"/>
            <w:color w:val="auto"/>
            <w:sz w:val="28"/>
            <w:szCs w:val="28"/>
            <w:u w:val="none"/>
            <w:lang w:val="en-US"/>
          </w:rPr>
          <w:t>CLS Bank</w:t>
        </w:r>
      </w:hyperlink>
      <w:r w:rsidR="00606F59" w:rsidRPr="0068182D">
        <w:rPr>
          <w:rFonts w:ascii="Times New Roman" w:hAnsi="Times New Roman" w:cs="Times New Roman"/>
          <w:sz w:val="28"/>
          <w:szCs w:val="28"/>
          <w:lang w:val="en-US"/>
        </w:rPr>
        <w:t>, a global payment system for the settlement of foreign exchange transactions, including those involving the Canadian dollar; and</w:t>
      </w:r>
    </w:p>
    <w:p w:rsidR="00606F59" w:rsidRPr="0068182D" w:rsidRDefault="00CD577A" w:rsidP="009663D3">
      <w:pPr>
        <w:numPr>
          <w:ilvl w:val="0"/>
          <w:numId w:val="38"/>
        </w:numPr>
        <w:shd w:val="clear" w:color="auto" w:fill="FFFFFF"/>
        <w:spacing w:after="0" w:line="240" w:lineRule="auto"/>
        <w:jc w:val="both"/>
        <w:rPr>
          <w:rFonts w:ascii="Times New Roman" w:hAnsi="Times New Roman" w:cs="Times New Roman"/>
          <w:sz w:val="28"/>
          <w:szCs w:val="28"/>
          <w:lang w:val="en-US"/>
        </w:rPr>
      </w:pPr>
      <w:hyperlink r:id="rId253" w:anchor="swapclear" w:history="1">
        <w:r w:rsidR="00606F59" w:rsidRPr="0068182D">
          <w:rPr>
            <w:rStyle w:val="a5"/>
            <w:rFonts w:ascii="Times New Roman" w:hAnsi="Times New Roman" w:cs="Times New Roman"/>
            <w:color w:val="auto"/>
            <w:sz w:val="28"/>
            <w:szCs w:val="28"/>
            <w:u w:val="none"/>
            <w:lang w:val="en-US"/>
          </w:rPr>
          <w:t>SwapClear</w:t>
        </w:r>
      </w:hyperlink>
      <w:r w:rsidR="00606F59" w:rsidRPr="0068182D">
        <w:rPr>
          <w:rFonts w:ascii="Times New Roman" w:hAnsi="Times New Roman" w:cs="Times New Roman"/>
          <w:sz w:val="28"/>
          <w:szCs w:val="28"/>
          <w:lang w:val="en-US"/>
        </w:rPr>
        <w:t>, a global system for the central clearing of interest rate swaps and other over-the-counter interest rate derivatives denominated in multiple currencies, including the Canadian dollar.</w:t>
      </w:r>
    </w:p>
    <w:p w:rsidR="00606F59" w:rsidRPr="0068182D" w:rsidRDefault="00606F59" w:rsidP="009663D3">
      <w:pPr>
        <w:pStyle w:val="2"/>
        <w:shd w:val="clear" w:color="auto" w:fill="FFFFFF"/>
        <w:spacing w:before="0" w:beforeAutospacing="0" w:after="0" w:afterAutospacing="0"/>
        <w:ind w:firstLine="567"/>
        <w:jc w:val="both"/>
        <w:rPr>
          <w:bCs w:val="0"/>
          <w:spacing w:val="5"/>
          <w:sz w:val="28"/>
          <w:szCs w:val="28"/>
          <w:lang w:val="en-US"/>
        </w:rPr>
      </w:pPr>
      <w:r w:rsidRPr="0068182D">
        <w:rPr>
          <w:bCs w:val="0"/>
          <w:spacing w:val="5"/>
          <w:sz w:val="28"/>
          <w:szCs w:val="28"/>
          <w:lang w:val="en-US"/>
        </w:rPr>
        <w:t>Prominent payment systems</w:t>
      </w:r>
    </w:p>
    <w:p w:rsidR="00606F59" w:rsidRPr="0068182D" w:rsidRDefault="00606F59"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In December 2014, the Bank’s oversight responsibilities were expanded to include prominent payment systems. These payment systems, while not systemically important, are critical for economic activity in Canada. Disruptions or failures could have the potential to pose risks to Canadian economic activity and affect general confidence in the payments system.</w:t>
      </w:r>
    </w:p>
    <w:p w:rsidR="00606F59" w:rsidRPr="0068182D" w:rsidRDefault="00606F59"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Like systemically important systems, it is important that these systems have appropriate risk controls in place to control “payments system risk”.</w:t>
      </w:r>
      <w:hyperlink r:id="rId254" w:anchor="footnote-1" w:history="1">
        <w:r w:rsidRPr="0068182D">
          <w:rPr>
            <w:rStyle w:val="a5"/>
            <w:rFonts w:eastAsiaTheme="majorEastAsia"/>
            <w:color w:val="auto"/>
            <w:sz w:val="28"/>
            <w:szCs w:val="28"/>
            <w:u w:val="none"/>
            <w:vertAlign w:val="superscript"/>
            <w:lang w:val="en-US"/>
          </w:rPr>
          <w:t>1</w:t>
        </w:r>
      </w:hyperlink>
      <w:r w:rsidRPr="0068182D">
        <w:rPr>
          <w:rStyle w:val="apple-converted-space"/>
          <w:sz w:val="28"/>
          <w:szCs w:val="28"/>
          <w:lang w:val="en-US"/>
        </w:rPr>
        <w:t> </w:t>
      </w:r>
      <w:r w:rsidRPr="0068182D">
        <w:rPr>
          <w:sz w:val="28"/>
          <w:szCs w:val="28"/>
          <w:lang w:val="en-US"/>
        </w:rPr>
        <w:t>However, the nature and magnitude of the risks faced will be different than those that are relevant for systemically important systems, and therefore the risk controls may also differ in some areas.</w:t>
      </w:r>
    </w:p>
    <w:p w:rsidR="00606F59" w:rsidRPr="0068182D" w:rsidRDefault="00606F59"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Bank has developed risk</w:t>
      </w:r>
      <w:r w:rsidRPr="0068182D">
        <w:rPr>
          <w:sz w:val="28"/>
          <w:szCs w:val="28"/>
          <w:lang w:val="en-US"/>
        </w:rPr>
        <w:softHyphen/>
        <w:t>-management standards which will be applied to these systems.</w:t>
      </w:r>
    </w:p>
    <w:p w:rsidR="00606F59" w:rsidRPr="0068182D" w:rsidRDefault="00CD577A" w:rsidP="009663D3">
      <w:pPr>
        <w:pStyle w:val="a6"/>
        <w:shd w:val="clear" w:color="auto" w:fill="FFFFFF"/>
        <w:spacing w:before="0" w:beforeAutospacing="0" w:after="0" w:afterAutospacing="0"/>
        <w:ind w:left="567"/>
        <w:jc w:val="both"/>
        <w:rPr>
          <w:sz w:val="28"/>
          <w:szCs w:val="28"/>
          <w:lang w:val="en-US"/>
        </w:rPr>
      </w:pPr>
      <w:hyperlink r:id="rId255" w:history="1">
        <w:r w:rsidR="00606F59" w:rsidRPr="0068182D">
          <w:rPr>
            <w:rStyle w:val="a5"/>
            <w:rFonts w:eastAsiaTheme="majorEastAsia"/>
            <w:color w:val="auto"/>
            <w:sz w:val="28"/>
            <w:szCs w:val="28"/>
            <w:u w:val="none"/>
            <w:lang w:val="en-US"/>
          </w:rPr>
          <w:t>Consultations on the Criteria and Risk-Management Standards for Prominent Payment Systems: Summary and Responses to Comments Received</w:t>
        </w:r>
      </w:hyperlink>
      <w:r w:rsidR="00606F59" w:rsidRPr="0068182D">
        <w:rPr>
          <w:sz w:val="28"/>
          <w:szCs w:val="28"/>
          <w:lang w:val="en-US"/>
        </w:rPr>
        <w:br/>
      </w:r>
      <w:hyperlink r:id="rId256" w:history="1">
        <w:r w:rsidR="00606F59" w:rsidRPr="0068182D">
          <w:rPr>
            <w:rStyle w:val="a5"/>
            <w:rFonts w:eastAsiaTheme="majorEastAsia"/>
            <w:color w:val="auto"/>
            <w:sz w:val="28"/>
            <w:szCs w:val="28"/>
            <w:u w:val="none"/>
            <w:lang w:val="en-US"/>
          </w:rPr>
          <w:t>Criteria and Risk-Management Standards for Prominent Payment Systems</w:t>
        </w:r>
      </w:hyperlink>
    </w:p>
    <w:p w:rsidR="00606F59" w:rsidRPr="0068182D" w:rsidRDefault="00606F59"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In May 2016 the Automated Clearing Settlement System (ACSS), operated by Payments Canada, was designated by the Bank of Canada as having the potential to pose payments system risk. The ACSS is therefore subject to Bank oversight and must comply with the risk management standards for Prominent Payment Systems.</w:t>
      </w:r>
    </w:p>
    <w:p w:rsidR="00606F59" w:rsidRPr="0068182D" w:rsidRDefault="00CD577A" w:rsidP="009663D3">
      <w:pPr>
        <w:pStyle w:val="a6"/>
        <w:shd w:val="clear" w:color="auto" w:fill="FFFFFF"/>
        <w:spacing w:before="0" w:beforeAutospacing="0" w:after="0" w:afterAutospacing="0"/>
        <w:ind w:firstLine="567"/>
        <w:jc w:val="both"/>
        <w:rPr>
          <w:sz w:val="28"/>
          <w:szCs w:val="28"/>
          <w:lang w:val="en-US"/>
        </w:rPr>
      </w:pPr>
      <w:hyperlink r:id="rId257" w:history="1">
        <w:r w:rsidR="00606F59" w:rsidRPr="0068182D">
          <w:rPr>
            <w:rStyle w:val="a5"/>
            <w:rFonts w:eastAsiaTheme="majorEastAsia"/>
            <w:color w:val="auto"/>
            <w:sz w:val="28"/>
            <w:szCs w:val="28"/>
            <w:u w:val="none"/>
            <w:lang w:val="en-US"/>
          </w:rPr>
          <w:t>Bank of Canada designates Automated Clearing and Settlement System under the Payment Clearing and Settlement Act</w:t>
        </w:r>
      </w:hyperlink>
    </w:p>
    <w:p w:rsidR="00606F59" w:rsidRPr="0068182D" w:rsidRDefault="00606F59" w:rsidP="009663D3">
      <w:pPr>
        <w:pStyle w:val="2"/>
        <w:shd w:val="clear" w:color="auto" w:fill="FFFFFF"/>
        <w:spacing w:before="0" w:beforeAutospacing="0" w:after="0" w:afterAutospacing="0"/>
        <w:ind w:firstLine="567"/>
        <w:jc w:val="both"/>
        <w:rPr>
          <w:bCs w:val="0"/>
          <w:spacing w:val="5"/>
          <w:sz w:val="28"/>
          <w:szCs w:val="28"/>
          <w:lang w:val="en-US"/>
        </w:rPr>
      </w:pPr>
      <w:r w:rsidRPr="0068182D">
        <w:rPr>
          <w:bCs w:val="0"/>
          <w:spacing w:val="5"/>
          <w:sz w:val="28"/>
          <w:szCs w:val="28"/>
          <w:lang w:val="en-US"/>
        </w:rPr>
        <w:t>The Bank's Contributions to the International Financial System</w:t>
      </w:r>
    </w:p>
    <w:p w:rsidR="00606F59" w:rsidRPr="0068182D" w:rsidRDefault="00606F59" w:rsidP="009663D3">
      <w:pPr>
        <w:shd w:val="clear" w:color="auto" w:fill="FFFFFF"/>
        <w:spacing w:after="0" w:line="240" w:lineRule="auto"/>
        <w:ind w:firstLine="360"/>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addition to promoting a sound financial system at home, the Bank contributes to international discussions on important financial system issues, collaborates with other central banks on research into the international financial system and provides technical assistance. The Bank of Canada:</w:t>
      </w:r>
    </w:p>
    <w:p w:rsidR="00606F59" w:rsidRPr="0068182D" w:rsidRDefault="00606F59" w:rsidP="009663D3">
      <w:pPr>
        <w:numPr>
          <w:ilvl w:val="0"/>
          <w:numId w:val="36"/>
        </w:numPr>
        <w:shd w:val="clear" w:color="auto" w:fill="FFFFFF"/>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provides experienced personnel to take part in joint missions of the </w:t>
      </w:r>
      <w:hyperlink r:id="rId258" w:history="1">
        <w:r w:rsidRPr="0068182D">
          <w:rPr>
            <w:rFonts w:ascii="Times New Roman" w:hAnsi="Times New Roman" w:cs="Times New Roman"/>
            <w:sz w:val="28"/>
            <w:szCs w:val="28"/>
            <w:lang w:val="en-US"/>
          </w:rPr>
          <w:t>International Monetary Fund</w:t>
        </w:r>
      </w:hyperlink>
      <w:r w:rsidRPr="0068182D">
        <w:rPr>
          <w:rFonts w:ascii="Times New Roman" w:hAnsi="Times New Roman" w:cs="Times New Roman"/>
          <w:sz w:val="28"/>
          <w:szCs w:val="28"/>
          <w:lang w:val="en-US"/>
        </w:rPr>
        <w:t> and the </w:t>
      </w:r>
      <w:hyperlink r:id="rId259" w:history="1">
        <w:r w:rsidRPr="0068182D">
          <w:rPr>
            <w:rFonts w:ascii="Times New Roman" w:hAnsi="Times New Roman" w:cs="Times New Roman"/>
            <w:sz w:val="28"/>
            <w:szCs w:val="28"/>
            <w:lang w:val="en-US"/>
          </w:rPr>
          <w:t>World Bank</w:t>
        </w:r>
      </w:hyperlink>
    </w:p>
    <w:p w:rsidR="00606F59" w:rsidRPr="0068182D" w:rsidRDefault="00606F59" w:rsidP="009663D3">
      <w:pPr>
        <w:numPr>
          <w:ilvl w:val="0"/>
          <w:numId w:val="36"/>
        </w:numPr>
        <w:shd w:val="clear" w:color="auto" w:fill="FFFFFF"/>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is a major participant in the </w:t>
      </w:r>
      <w:hyperlink r:id="rId260" w:history="1">
        <w:r w:rsidRPr="0068182D">
          <w:rPr>
            <w:rFonts w:ascii="Times New Roman" w:hAnsi="Times New Roman" w:cs="Times New Roman"/>
            <w:sz w:val="28"/>
            <w:szCs w:val="28"/>
            <w:lang w:val="en-US"/>
          </w:rPr>
          <w:t>Financial Stability Board</w:t>
        </w:r>
      </w:hyperlink>
      <w:r w:rsidRPr="0068182D">
        <w:rPr>
          <w:rFonts w:ascii="Times New Roman" w:hAnsi="Times New Roman" w:cs="Times New Roman"/>
          <w:sz w:val="28"/>
          <w:szCs w:val="28"/>
          <w:lang w:val="en-US"/>
        </w:rPr>
        <w:t>, which was established to address vulnerabilities and to develop and implement strong regulatory, supervisory and other policies in the interest of financial stability</w:t>
      </w:r>
    </w:p>
    <w:p w:rsidR="00606F59" w:rsidRPr="0068182D" w:rsidRDefault="00606F59" w:rsidP="009663D3">
      <w:pPr>
        <w:numPr>
          <w:ilvl w:val="0"/>
          <w:numId w:val="36"/>
        </w:numPr>
        <w:shd w:val="clear" w:color="auto" w:fill="FFFFFF"/>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contributes to Canada's participation in </w:t>
      </w:r>
      <w:hyperlink r:id="rId261" w:history="1">
        <w:r w:rsidRPr="0068182D">
          <w:rPr>
            <w:rFonts w:ascii="Times New Roman" w:hAnsi="Times New Roman" w:cs="Times New Roman"/>
            <w:sz w:val="28"/>
            <w:szCs w:val="28"/>
            <w:lang w:val="en-US"/>
          </w:rPr>
          <w:t>G20</w:t>
        </w:r>
      </w:hyperlink>
      <w:r w:rsidRPr="0068182D">
        <w:rPr>
          <w:rFonts w:ascii="Times New Roman" w:hAnsi="Times New Roman" w:cs="Times New Roman"/>
          <w:sz w:val="28"/>
          <w:szCs w:val="28"/>
          <w:lang w:val="en-US"/>
        </w:rPr>
        <w:t> discussions on global economic stability; and</w:t>
      </w:r>
    </w:p>
    <w:p w:rsidR="00606F59" w:rsidRPr="0068182D" w:rsidRDefault="00606F59" w:rsidP="009663D3">
      <w:pPr>
        <w:numPr>
          <w:ilvl w:val="0"/>
          <w:numId w:val="36"/>
        </w:numPr>
        <w:shd w:val="clear" w:color="auto" w:fill="FFFFFF"/>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provides ongoing support for the work of committees and working groups of the </w:t>
      </w:r>
      <w:hyperlink r:id="rId262" w:history="1">
        <w:r w:rsidRPr="0068182D">
          <w:rPr>
            <w:rFonts w:ascii="Times New Roman" w:hAnsi="Times New Roman" w:cs="Times New Roman"/>
            <w:sz w:val="28"/>
            <w:szCs w:val="28"/>
            <w:lang w:val="en-US"/>
          </w:rPr>
          <w:t>Bank for International Settlements</w:t>
        </w:r>
      </w:hyperlink>
    </w:p>
    <w:p w:rsidR="00606F59" w:rsidRPr="0068182D" w:rsidRDefault="00606F59" w:rsidP="009663D3">
      <w:pPr>
        <w:pStyle w:val="a4"/>
        <w:spacing w:after="0" w:line="240" w:lineRule="auto"/>
        <w:jc w:val="both"/>
        <w:rPr>
          <w:rStyle w:val="hps"/>
          <w:rFonts w:ascii="Times New Roman" w:hAnsi="Times New Roman" w:cs="Times New Roman"/>
          <w:sz w:val="28"/>
          <w:szCs w:val="28"/>
          <w:lang w:val="en-US"/>
        </w:rPr>
      </w:pPr>
    </w:p>
    <w:p w:rsidR="00606F59" w:rsidRPr="0068182D" w:rsidRDefault="00606F59" w:rsidP="009663D3">
      <w:pPr>
        <w:pStyle w:val="a4"/>
        <w:spacing w:after="0" w:line="240" w:lineRule="auto"/>
        <w:ind w:left="0" w:firstLine="567"/>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3.</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Special funds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the state,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federal budget</w:t>
      </w:r>
    </w:p>
    <w:p w:rsidR="00606F59" w:rsidRPr="0068182D" w:rsidRDefault="00606F59" w:rsidP="009663D3">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During the global financial crisis Canada’s banks were well capitalized, well managed and well regulated, and they remain so to this day. No Canadian bank was in danger of failing or needed a government bailout. Thanks to limited exposure to the U.S. market and for a government management liability, which has facilitated access to credit for medium and long term, the Canadian economy has been able to reduce the damage of the recent financial crisis (the Canadian financial system had strengthened its management processes after the crises of the 80s and 90s, recapitalizing sectors related to the real economy, thanks to a strong system of inspections and supervision). In a recent assessment of Canada’s financial system, the IMF concluded that Canada’s system is highly mature, sophisticated, and well-managed.</w:t>
      </w:r>
    </w:p>
    <w:p w:rsidR="00606F59" w:rsidRPr="0068182D" w:rsidRDefault="00606F59" w:rsidP="00FF2DA0">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There are many important participants, including Canadian policymakers and regulatory officials, involved in shaping and adapting these regulatory frames for Canada’s financial system. In fact, the system is characterized by strong prudential regulation and supervision and a well-designed system of deposit insurance and arrangements for crisis management and resolution of failed banks. Supervisory responsibility for the financial sector in Canada is divided among the federal government, among the provincial governments, and among a group of agencies within the federal government.</w:t>
      </w:r>
    </w:p>
    <w:p w:rsidR="00606F59" w:rsidRPr="0068182D" w:rsidRDefault="00606F59" w:rsidP="00FF2DA0">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federal government is responsible for supervising all banks, federally incorporated insurance companies, trust and loan companies, cooperative credit associations and federal pension plans. Provincial governments are responsible for supervising securities dealers, mutual fund and investment advisors, credit unions, and provincially incorporated trust, loan, and insurance companies. As a result, there are 13 provincial regulatory authorities, each administering securities laws and regulations. The Minister of Finance, however, oversees the incorporation of banks, permitting foreign bank branches, and reviews of large bank mergers. In particular, the minister has broad discretionary authority to disapprove mergers, which has effectively eliminated such transactions.</w:t>
      </w:r>
    </w:p>
    <w:p w:rsidR="00606F59" w:rsidRPr="0068182D" w:rsidRDefault="00606F59" w:rsidP="00FF2DA0">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Furthermore, Canada’s model assigns the central bank (Bank of Canada – BOC) the main role of conducting monetary policy and maintaining price stability. It has assigned the core responsibility for supervising and regulating some aspects of the financial system to a separate federal agency, while also giving provincial governments authority over other parts of the financial system. The Canada's approach is the shared responsibility among the Department of Finance and other federal financial regulatory authorities, including the Bank of Canada, the Office of the Superintendent of Financial Institutions (OSFI) and the Canada Deposit Insurance Corporation (CDIC). Ultimately, it is the Minister of Finance who is responsible for the sound stewardship of the financial system. Canada’s shared system of financial regulation and supervision proved valuable during the recent global financial crisis.</w:t>
      </w:r>
    </w:p>
    <w:p w:rsidR="00606F59" w:rsidRPr="0068182D" w:rsidRDefault="00606F59" w:rsidP="00FF2DA0">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addition, within the federal government, the Financial Institutions Supervisory Committee (FISC) acts as the chief coordinating body that sets regulatory policy and supervises financial institutions. The Committee is comprised of the Department of Finance of the Ministry of Finance and four independent government agencies: the Office of the Superintendent of Financial Institutions (OSFI); the Bank of Canada (BOC); the Canada Deposit Insurance Corporation (CDIC); and the Financial Consumer Agency of Canada (FCAC) as shown in Table 1. These five semiofficial agencies report to the Minister of Finance, who is responsible to the Canadian Parliament.</w:t>
      </w:r>
    </w:p>
    <w:p w:rsidR="00606F59" w:rsidRPr="009663D3" w:rsidRDefault="00606F59" w:rsidP="00606F59">
      <w:pPr>
        <w:shd w:val="clear" w:color="auto" w:fill="FFFFFF"/>
        <w:spacing w:after="0" w:line="240" w:lineRule="auto"/>
        <w:ind w:firstLine="567"/>
        <w:jc w:val="both"/>
        <w:rPr>
          <w:rFonts w:ascii="Times New Roman" w:hAnsi="Times New Roman" w:cs="Times New Roman"/>
          <w:i/>
          <w:iCs/>
          <w:sz w:val="28"/>
          <w:szCs w:val="28"/>
          <w:lang w:val="en-US"/>
        </w:rPr>
      </w:pP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iCs/>
          <w:sz w:val="28"/>
          <w:szCs w:val="28"/>
          <w:lang w:val="en-US"/>
        </w:rPr>
        <w:t>Tab. 1: Main Domestic financial institution</w:t>
      </w: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 </w:t>
      </w:r>
    </w:p>
    <w:tbl>
      <w:tblPr>
        <w:tblpPr w:leftFromText="141" w:rightFromText="141" w:vertAnchor="text"/>
        <w:tblW w:w="0" w:type="auto"/>
        <w:shd w:val="clear" w:color="auto" w:fill="FFFFFF"/>
        <w:tblCellMar>
          <w:left w:w="0" w:type="dxa"/>
          <w:right w:w="0" w:type="dxa"/>
        </w:tblCellMar>
        <w:tblLook w:val="04A0"/>
      </w:tblPr>
      <w:tblGrid>
        <w:gridCol w:w="1869"/>
        <w:gridCol w:w="7985"/>
      </w:tblGrid>
      <w:tr w:rsidR="00606F59" w:rsidRPr="009663D3" w:rsidTr="00606F59">
        <w:trPr>
          <w:trHeight w:val="300"/>
        </w:trPr>
        <w:tc>
          <w:tcPr>
            <w:tcW w:w="1668" w:type="dxa"/>
            <w:tcBorders>
              <w:top w:val="single" w:sz="8"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rPr>
            </w:pPr>
            <w:r w:rsidRPr="009663D3">
              <w:rPr>
                <w:rFonts w:ascii="Times New Roman" w:hAnsi="Times New Roman" w:cs="Times New Roman"/>
                <w:b/>
                <w:bCs/>
                <w:sz w:val="28"/>
                <w:szCs w:val="28"/>
                <w:lang w:val="en-US"/>
              </w:rPr>
              <w:t>Domestic institutions</w:t>
            </w:r>
          </w:p>
        </w:tc>
        <w:tc>
          <w:tcPr>
            <w:tcW w:w="8186" w:type="dxa"/>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rPr>
            </w:pPr>
            <w:r w:rsidRPr="009663D3">
              <w:rPr>
                <w:rFonts w:ascii="Times New Roman" w:hAnsi="Times New Roman" w:cs="Times New Roman"/>
                <w:b/>
                <w:bCs/>
                <w:sz w:val="28"/>
                <w:szCs w:val="28"/>
                <w:lang w:val="en-US"/>
              </w:rPr>
              <w:t>Core Function</w:t>
            </w:r>
          </w:p>
        </w:tc>
      </w:tr>
      <w:tr w:rsidR="00606F59" w:rsidRPr="008E2EAF" w:rsidTr="00606F59">
        <w:trPr>
          <w:trHeight w:val="825"/>
        </w:trPr>
        <w:tc>
          <w:tcPr>
            <w:tcW w:w="166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lang w:val="en-US"/>
              </w:rPr>
            </w:pPr>
            <w:r w:rsidRPr="009663D3">
              <w:rPr>
                <w:rFonts w:ascii="Times New Roman" w:hAnsi="Times New Roman" w:cs="Times New Roman"/>
                <w:i/>
                <w:iCs/>
                <w:sz w:val="28"/>
                <w:szCs w:val="28"/>
                <w:lang w:val="en-US"/>
              </w:rPr>
              <w:t>Office of the Superintendent of Financial Institutions (OSFI)</w:t>
            </w:r>
          </w:p>
        </w:tc>
        <w:tc>
          <w:tcPr>
            <w:tcW w:w="818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lang w:val="en-US"/>
              </w:rPr>
            </w:pPr>
            <w:r w:rsidRPr="009663D3">
              <w:rPr>
                <w:rFonts w:ascii="Times New Roman" w:hAnsi="Times New Roman" w:cs="Times New Roman"/>
                <w:sz w:val="28"/>
                <w:szCs w:val="28"/>
                <w:lang w:val="en-US"/>
              </w:rPr>
              <w:t>The prudential regulator of Canadian banks and other federally regulated financial institutions. Also responsible for implementing Basel Committee principles and guidance in Canada.</w:t>
            </w:r>
          </w:p>
        </w:tc>
      </w:tr>
      <w:tr w:rsidR="00606F59" w:rsidRPr="008E2EAF" w:rsidTr="00606F59">
        <w:trPr>
          <w:trHeight w:val="660"/>
        </w:trPr>
        <w:tc>
          <w:tcPr>
            <w:tcW w:w="166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rPr>
            </w:pPr>
            <w:r w:rsidRPr="009663D3">
              <w:rPr>
                <w:rFonts w:ascii="Times New Roman" w:hAnsi="Times New Roman" w:cs="Times New Roman"/>
                <w:i/>
                <w:iCs/>
                <w:sz w:val="28"/>
                <w:szCs w:val="28"/>
              </w:rPr>
              <w:t>Bank of Canada (BOC)</w:t>
            </w:r>
          </w:p>
        </w:tc>
        <w:tc>
          <w:tcPr>
            <w:tcW w:w="818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lang w:val="en-US"/>
              </w:rPr>
            </w:pPr>
            <w:r w:rsidRPr="009663D3">
              <w:rPr>
                <w:rFonts w:ascii="Times New Roman" w:hAnsi="Times New Roman" w:cs="Times New Roman"/>
                <w:sz w:val="28"/>
                <w:szCs w:val="28"/>
                <w:lang w:val="en-US"/>
              </w:rPr>
              <w:t>Canada’s central bank, responsible for setting monetary policy and promoting a stable and efficient financial system.</w:t>
            </w:r>
          </w:p>
        </w:tc>
      </w:tr>
      <w:tr w:rsidR="00606F59" w:rsidRPr="008E2EAF" w:rsidTr="00606F59">
        <w:trPr>
          <w:trHeight w:val="645"/>
        </w:trPr>
        <w:tc>
          <w:tcPr>
            <w:tcW w:w="166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rPr>
            </w:pPr>
            <w:r w:rsidRPr="009663D3">
              <w:rPr>
                <w:rFonts w:ascii="Times New Roman" w:hAnsi="Times New Roman" w:cs="Times New Roman"/>
                <w:i/>
                <w:iCs/>
                <w:sz w:val="28"/>
                <w:szCs w:val="28"/>
              </w:rPr>
              <w:t>Department of Finance</w:t>
            </w:r>
          </w:p>
        </w:tc>
        <w:tc>
          <w:tcPr>
            <w:tcW w:w="818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lang w:val="en-US"/>
              </w:rPr>
            </w:pPr>
            <w:r w:rsidRPr="009663D3">
              <w:rPr>
                <w:rFonts w:ascii="Times New Roman" w:hAnsi="Times New Roman" w:cs="Times New Roman"/>
                <w:sz w:val="28"/>
                <w:szCs w:val="28"/>
                <w:lang w:val="en-US"/>
              </w:rPr>
              <w:t>Responsible for the legislative framework governing banks and other federally regulated financial institutions in Canada.</w:t>
            </w:r>
          </w:p>
        </w:tc>
      </w:tr>
      <w:tr w:rsidR="00606F59" w:rsidRPr="008E2EAF" w:rsidTr="00606F59">
        <w:trPr>
          <w:trHeight w:val="1320"/>
        </w:trPr>
        <w:tc>
          <w:tcPr>
            <w:tcW w:w="166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lang w:val="en-US"/>
              </w:rPr>
            </w:pPr>
            <w:r w:rsidRPr="009663D3">
              <w:rPr>
                <w:rFonts w:ascii="Times New Roman" w:hAnsi="Times New Roman" w:cs="Times New Roman"/>
                <w:i/>
                <w:iCs/>
                <w:sz w:val="28"/>
                <w:szCs w:val="28"/>
                <w:lang w:val="en-US"/>
              </w:rPr>
              <w:t>Financial Institutions Supervisory Committee (FISC)</w:t>
            </w:r>
          </w:p>
        </w:tc>
        <w:tc>
          <w:tcPr>
            <w:tcW w:w="818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lang w:val="en-US"/>
              </w:rPr>
            </w:pPr>
            <w:r w:rsidRPr="009663D3">
              <w:rPr>
                <w:rFonts w:ascii="Times New Roman" w:hAnsi="Times New Roman" w:cs="Times New Roman"/>
                <w:sz w:val="28"/>
                <w:szCs w:val="28"/>
                <w:lang w:val="en-US"/>
              </w:rPr>
              <w:t>A committee of senior government representatives who meet regularly to share information and advise the federal government on financial system issues. FISC members are from OSFI (Chair), the Department of Finance, Bank of Canada, Canada Deposit Insurance Corporation (CDIC) and the Financial Consumer Agency of Canada (FCAC).</w:t>
            </w:r>
          </w:p>
        </w:tc>
      </w:tr>
      <w:tr w:rsidR="00606F59" w:rsidRPr="009663D3" w:rsidTr="00606F59">
        <w:trPr>
          <w:trHeight w:val="877"/>
        </w:trPr>
        <w:tc>
          <w:tcPr>
            <w:tcW w:w="166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lang w:val="en-US"/>
              </w:rPr>
            </w:pPr>
            <w:r w:rsidRPr="009663D3">
              <w:rPr>
                <w:rFonts w:ascii="Times New Roman" w:hAnsi="Times New Roman" w:cs="Times New Roman"/>
                <w:i/>
                <w:iCs/>
                <w:sz w:val="28"/>
                <w:szCs w:val="28"/>
                <w:lang w:val="en-US"/>
              </w:rPr>
              <w:t>Canada Deposit Insurance Corporation (CDIC)</w:t>
            </w:r>
          </w:p>
        </w:tc>
        <w:tc>
          <w:tcPr>
            <w:tcW w:w="818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rsidR="00606F59" w:rsidRPr="009663D3" w:rsidRDefault="00606F59" w:rsidP="00606F59">
            <w:pPr>
              <w:spacing w:after="0" w:line="312" w:lineRule="atLeast"/>
              <w:rPr>
                <w:rFonts w:ascii="Times New Roman" w:hAnsi="Times New Roman" w:cs="Times New Roman"/>
                <w:sz w:val="28"/>
                <w:szCs w:val="28"/>
              </w:rPr>
            </w:pPr>
            <w:r w:rsidRPr="009663D3">
              <w:rPr>
                <w:rFonts w:ascii="Times New Roman" w:hAnsi="Times New Roman" w:cs="Times New Roman"/>
                <w:sz w:val="28"/>
                <w:szCs w:val="28"/>
                <w:lang w:val="en-US"/>
              </w:rPr>
              <w:t>CDIC is a federal Crown corporation created by Parliament in 1967 to protect deposits made with member financial institutions in case of their failure. </w:t>
            </w:r>
            <w:r w:rsidRPr="009663D3">
              <w:rPr>
                <w:rFonts w:ascii="Times New Roman" w:hAnsi="Times New Roman" w:cs="Times New Roman"/>
                <w:sz w:val="28"/>
                <w:szCs w:val="28"/>
              </w:rPr>
              <w:t>CDIC insures deposits of up to $100,000.</w:t>
            </w:r>
          </w:p>
        </w:tc>
      </w:tr>
    </w:tbl>
    <w:p w:rsidR="00606F59" w:rsidRPr="009663D3" w:rsidRDefault="00606F59" w:rsidP="00606F59">
      <w:pPr>
        <w:shd w:val="clear" w:color="auto" w:fill="FFFFFF"/>
        <w:spacing w:after="0" w:line="408" w:lineRule="atLeast"/>
        <w:rPr>
          <w:rFonts w:ascii="Times New Roman" w:hAnsi="Times New Roman" w:cs="Times New Roman"/>
          <w:sz w:val="28"/>
          <w:szCs w:val="28"/>
        </w:rPr>
      </w:pPr>
      <w:r w:rsidRPr="009663D3">
        <w:rPr>
          <w:rFonts w:ascii="Times New Roman" w:hAnsi="Times New Roman" w:cs="Times New Roman"/>
          <w:sz w:val="28"/>
          <w:szCs w:val="28"/>
        </w:rPr>
        <w:t> </w:t>
      </w:r>
      <w:r w:rsidRPr="009663D3">
        <w:rPr>
          <w:rFonts w:ascii="Times New Roman" w:hAnsi="Times New Roman" w:cs="Times New Roman"/>
          <w:i/>
          <w:iCs/>
          <w:sz w:val="28"/>
          <w:szCs w:val="28"/>
          <w:lang w:val="en-US"/>
        </w:rPr>
        <w:t>Source: Canadian Bankers Association</w:t>
      </w: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rPr>
      </w:pP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In particular, the FISC generally meets quarterly, but can meet more often if needed. In addition, FISC conducts a legally mandated five-year review of the National Bank Act to ensure that federal regulatory legislation is modernized periodically. Within FISC, the OSFI plays a key role in supervising Canada’s financial sector.</w:t>
      </w: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The OSFI supervises all domestic banks, branches of foreign banks operating in Canada, trust and loan companies, cooperative credit companies, life insurance companies, and property and casualty insurance companies. The OSFI has set limits on the ability of Canadian banks to leverage their capital and has set target capital ratios that are higher then the international standard. In broad terms, the OSFI is responsible for a number of activities including: assessing the financial conditions and operating performance of the institutions under its jurisdiction; reviewing information obtained from statutory filings, financial reporting, and management reporting requirements; conducting meetings with institutions; attending board meetings when necessary of institutions to discuss the results of supervisory reviews; providing composite risk ratings to institutions; advising institutions of any corrective measures that the institution will be requested to take; monitoring any corrective measures; and reporting to the Minister of Finance on an annual basis.</w:t>
      </w: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In addition, recently was concluded the agreement between the Ministers of Finance of British Columbia, Ontario and Canada to establish a cooperative capital markets regulatory system. The system will have a federal statute that will address criminal matters, systemic risks in capital markets and national data collection, while member provinces will adopt a uniform act which will cover all the areas that the existing provincial securities statutes address. As it is expected to reduce compliance costs and facilitate coordination across jurisdictions and regulatory authorities, as well as to enhance systemic risk monitoring and enforcement, especially if all provinces participated.</w:t>
      </w: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i/>
          <w:iCs/>
          <w:sz w:val="28"/>
          <w:szCs w:val="28"/>
          <w:lang w:val="en-US"/>
        </w:rPr>
        <w:t>Banking System</w:t>
      </w: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During the recent crisis, Canadian banks had a stronger balance sheet position compared to european and U.S. banks. Despite the current issues of the world economy, no Canadian bank needed public capital injections and none used public guarantees. This higher level of capital and liquidity means that Canada is well positioned to meet the higher capital and liquidity standards adopted under the Basel III framework. The IMF points out that Canadian banks have been more resilient, because Canada has a strong financial regulatory and supervisory framework. The regulatory structure also discourages Canadian banks from taking excessive risks. Canada requires banks to hold capital at rates that are higher than those set in the Basel Accords.</w:t>
      </w: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Canada’s financial system is dominated by five large banking groups (Royal Bank of Canada, TD Canada Trust, Bank of Nova Scotia, Bank of Montreal, and Canadian Imperial Bank) that account for about 60% of the total assets of Canada’s financial sector. In comparison, foreign banks account for about 4% of Canada’s total assets in the financial sector. The low representation by foreign banks is attributed to the “widely-held” rule for large banks that limits the concentration of bank share ownership and, therefore, reduces the scope for mergers and for foreign entry through acquisitions or mergers. This lack of competition, combined with Canada’s financial legal framework, allows Canadian banks to concentrate more on their low-risk, profitable domestic retail banking activities (services provided to individuals including deposits, savings accounts, mortgages, credit cards, etc.). The authorities indicated that the expansion abroad could in principle help Canadian banks diversify risks, but also that they would need to monitor potential changes in banks’ risk appetite, including through on-site visits.</w:t>
      </w: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Canadian banks reported record profits in 2013, as greater income from fees and wealth management and costs compression have more than offset narrower interest rate margins from the slower growth in household loans. the central bank, however, does not hide her worries for the high level of indebtedness of Canadian households (mainly because of the real estate loans), value among the highest in the </w:t>
      </w:r>
      <w:hyperlink r:id="rId263" w:history="1">
        <w:r w:rsidRPr="009663D3">
          <w:rPr>
            <w:rFonts w:ascii="Times New Roman" w:hAnsi="Times New Roman" w:cs="Times New Roman"/>
            <w:b/>
            <w:bCs/>
            <w:sz w:val="28"/>
            <w:szCs w:val="28"/>
            <w:lang w:val="en-US"/>
          </w:rPr>
          <w:t>OECD</w:t>
        </w:r>
      </w:hyperlink>
      <w:r w:rsidRPr="009663D3">
        <w:rPr>
          <w:rFonts w:ascii="Times New Roman" w:hAnsi="Times New Roman" w:cs="Times New Roman"/>
          <w:sz w:val="28"/>
          <w:szCs w:val="28"/>
          <w:lang w:val="en-US"/>
        </w:rPr>
        <w:t> countries.</w:t>
      </w: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i/>
          <w:iCs/>
          <w:sz w:val="28"/>
          <w:szCs w:val="28"/>
          <w:lang w:val="en-US"/>
        </w:rPr>
        <w:t>Vulnerability and Potential Risks for Canada’s Financial System</w:t>
      </w: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The Canadian financial system remains robust (Canadian banks are well capitalized; financial markets continue to function well; and financial market infrastructures are supporting core activities, in line with international standards) but  recently garnered attention because nonetheless, there are three potential key vulnerabilities:</w:t>
      </w:r>
    </w:p>
    <w:p w:rsidR="00606F59" w:rsidRPr="009663D3" w:rsidRDefault="00606F59" w:rsidP="00606F59">
      <w:pPr>
        <w:shd w:val="clear" w:color="auto" w:fill="FFFFFF"/>
        <w:spacing w:after="0" w:line="240" w:lineRule="auto"/>
        <w:ind w:firstLine="567"/>
        <w:jc w:val="both"/>
        <w:rPr>
          <w:rFonts w:ascii="Times New Roman" w:hAnsi="Times New Roman" w:cs="Times New Roman"/>
          <w:sz w:val="28"/>
          <w:szCs w:val="28"/>
          <w:lang w:val="en-US"/>
        </w:rPr>
      </w:pPr>
      <w:r w:rsidRPr="009663D3">
        <w:rPr>
          <w:rFonts w:ascii="Times New Roman" w:hAnsi="Times New Roman" w:cs="Times New Roman"/>
          <w:sz w:val="28"/>
          <w:szCs w:val="28"/>
          <w:lang w:val="en-US"/>
        </w:rPr>
        <w:t>1. </w:t>
      </w:r>
      <w:r w:rsidRPr="009663D3">
        <w:rPr>
          <w:rFonts w:ascii="Times New Roman" w:hAnsi="Times New Roman" w:cs="Times New Roman"/>
          <w:sz w:val="28"/>
          <w:szCs w:val="28"/>
          <w:u w:val="single"/>
          <w:lang w:val="en-US"/>
        </w:rPr>
        <w:t>Imbalances in the Canadian housing market</w:t>
      </w:r>
      <w:r w:rsidRPr="009663D3">
        <w:rPr>
          <w:rFonts w:ascii="Times New Roman" w:hAnsi="Times New Roman" w:cs="Times New Roman"/>
          <w:sz w:val="28"/>
          <w:szCs w:val="28"/>
          <w:lang w:val="en-US"/>
        </w:rPr>
        <w:t>. Imbalances in the housing sector continue to be demonstrated by elevated house prices, together with a buildup of supply in some segments of the housing market. House prices are still growing faster than disposable income as shown in Table 2. </w:t>
      </w:r>
    </w:p>
    <w:p w:rsidR="009663D3" w:rsidRDefault="009663D3" w:rsidP="00606F59">
      <w:pPr>
        <w:shd w:val="clear" w:color="auto" w:fill="FFFFFF"/>
        <w:spacing w:after="0" w:line="408" w:lineRule="atLeast"/>
        <w:rPr>
          <w:rFonts w:ascii="Times New Roman" w:hAnsi="Times New Roman" w:cs="Times New Roman"/>
          <w:iCs/>
          <w:sz w:val="28"/>
          <w:szCs w:val="28"/>
          <w:lang w:val="en-US"/>
        </w:rPr>
      </w:pPr>
    </w:p>
    <w:p w:rsidR="00606F59" w:rsidRPr="009663D3" w:rsidRDefault="00606F59" w:rsidP="00606F59">
      <w:pPr>
        <w:shd w:val="clear" w:color="auto" w:fill="FFFFFF"/>
        <w:spacing w:after="0" w:line="408" w:lineRule="atLeast"/>
        <w:rPr>
          <w:rFonts w:ascii="Times New Roman" w:hAnsi="Times New Roman" w:cs="Times New Roman"/>
          <w:sz w:val="28"/>
          <w:szCs w:val="28"/>
          <w:lang w:val="en-US"/>
        </w:rPr>
      </w:pPr>
      <w:r w:rsidRPr="009663D3">
        <w:rPr>
          <w:rFonts w:ascii="Times New Roman" w:hAnsi="Times New Roman" w:cs="Times New Roman"/>
          <w:iCs/>
          <w:sz w:val="28"/>
          <w:szCs w:val="28"/>
          <w:lang w:val="en-US"/>
        </w:rPr>
        <w:t>Tab. 2: Imbalances in the Canadian Housing Market</w:t>
      </w:r>
    </w:p>
    <w:p w:rsidR="00606F59" w:rsidRPr="009663D3" w:rsidRDefault="00606F59" w:rsidP="00606F59">
      <w:pPr>
        <w:shd w:val="clear" w:color="auto" w:fill="FFFFFF"/>
        <w:spacing w:after="0" w:line="408" w:lineRule="atLeast"/>
        <w:rPr>
          <w:rFonts w:ascii="Times New Roman" w:hAnsi="Times New Roman" w:cs="Times New Roman"/>
          <w:sz w:val="28"/>
          <w:szCs w:val="28"/>
        </w:rPr>
      </w:pPr>
      <w:r w:rsidRPr="009663D3">
        <w:rPr>
          <w:rFonts w:ascii="Times New Roman" w:hAnsi="Times New Roman" w:cs="Times New Roman"/>
          <w:i/>
          <w:iCs/>
          <w:noProof/>
          <w:sz w:val="28"/>
          <w:szCs w:val="28"/>
        </w:rPr>
        <w:drawing>
          <wp:inline distT="0" distB="0" distL="0" distR="0">
            <wp:extent cx="4759325" cy="3051810"/>
            <wp:effectExtent l="19050" t="0" r="3175" b="0"/>
            <wp:docPr id="30" name="Рисунок 1" descr="http://www.bankpedia.org/images/Aversa23914/imbalances%20in%20the%20canadian%20housing%20mark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ankpedia.org/images/Aversa23914/imbalances%20in%20the%20canadian%20housing%20market.png"/>
                    <pic:cNvPicPr>
                      <a:picLocks noChangeAspect="1" noChangeArrowheads="1"/>
                    </pic:cNvPicPr>
                  </pic:nvPicPr>
                  <pic:blipFill>
                    <a:blip r:embed="rId264" cstate="print"/>
                    <a:srcRect/>
                    <a:stretch>
                      <a:fillRect/>
                    </a:stretch>
                  </pic:blipFill>
                  <pic:spPr bwMode="auto">
                    <a:xfrm>
                      <a:off x="0" y="0"/>
                      <a:ext cx="4759325" cy="3051810"/>
                    </a:xfrm>
                    <a:prstGeom prst="rect">
                      <a:avLst/>
                    </a:prstGeom>
                    <a:noFill/>
                    <a:ln w="9525">
                      <a:noFill/>
                      <a:miter lim="800000"/>
                      <a:headEnd/>
                      <a:tailEnd/>
                    </a:ln>
                  </pic:spPr>
                </pic:pic>
              </a:graphicData>
            </a:graphic>
          </wp:inline>
        </w:drawing>
      </w:r>
    </w:p>
    <w:p w:rsidR="00606F59" w:rsidRPr="009663D3" w:rsidRDefault="00606F59" w:rsidP="00606F59">
      <w:pPr>
        <w:shd w:val="clear" w:color="auto" w:fill="FFFFFF"/>
        <w:spacing w:before="139" w:after="139" w:line="408" w:lineRule="atLeast"/>
        <w:rPr>
          <w:rFonts w:ascii="Times New Roman" w:hAnsi="Times New Roman" w:cs="Times New Roman"/>
          <w:sz w:val="28"/>
          <w:szCs w:val="28"/>
          <w:lang w:val="en-US"/>
        </w:rPr>
      </w:pPr>
      <w:r w:rsidRPr="009663D3">
        <w:rPr>
          <w:rFonts w:ascii="Times New Roman" w:hAnsi="Times New Roman" w:cs="Times New Roman"/>
          <w:sz w:val="28"/>
          <w:szCs w:val="28"/>
          <w:lang w:val="en-US"/>
        </w:rPr>
        <w:t> </w:t>
      </w:r>
    </w:p>
    <w:p w:rsidR="00606F59" w:rsidRPr="009663D3" w:rsidRDefault="00606F59" w:rsidP="00606F59">
      <w:pPr>
        <w:shd w:val="clear" w:color="auto" w:fill="FFFFFF"/>
        <w:spacing w:after="0" w:line="240" w:lineRule="auto"/>
        <w:ind w:firstLine="567"/>
        <w:rPr>
          <w:rFonts w:ascii="Times New Roman" w:hAnsi="Times New Roman" w:cs="Times New Roman"/>
          <w:sz w:val="28"/>
          <w:szCs w:val="28"/>
          <w:lang w:val="en-US"/>
        </w:rPr>
      </w:pPr>
      <w:r w:rsidRPr="009663D3">
        <w:rPr>
          <w:rFonts w:ascii="Times New Roman" w:hAnsi="Times New Roman" w:cs="Times New Roman"/>
          <w:sz w:val="28"/>
          <w:szCs w:val="28"/>
          <w:lang w:val="en-US"/>
        </w:rPr>
        <w:t>2. </w:t>
      </w:r>
      <w:r w:rsidRPr="009663D3">
        <w:rPr>
          <w:rFonts w:ascii="Times New Roman" w:hAnsi="Times New Roman" w:cs="Times New Roman"/>
          <w:sz w:val="28"/>
          <w:szCs w:val="28"/>
          <w:u w:val="single"/>
          <w:lang w:val="en-US"/>
        </w:rPr>
        <w:t>Elevated level of Canadian household indebtedness</w:t>
      </w:r>
      <w:r w:rsidRPr="009663D3">
        <w:rPr>
          <w:rFonts w:ascii="Times New Roman" w:hAnsi="Times New Roman" w:cs="Times New Roman"/>
          <w:sz w:val="28"/>
          <w:szCs w:val="28"/>
          <w:lang w:val="en-US"/>
        </w:rPr>
        <w:t>. The ratio of aggregate household debt to disposable income in Canada remains at a historically high level, as shown in Table 3.</w:t>
      </w:r>
    </w:p>
    <w:p w:rsidR="00606F59" w:rsidRPr="009663D3" w:rsidRDefault="00606F59" w:rsidP="00606F59">
      <w:pPr>
        <w:shd w:val="clear" w:color="auto" w:fill="FFFFFF"/>
        <w:spacing w:after="0" w:line="408" w:lineRule="atLeast"/>
        <w:rPr>
          <w:rFonts w:ascii="Times New Roman" w:hAnsi="Times New Roman" w:cs="Times New Roman"/>
          <w:sz w:val="28"/>
          <w:szCs w:val="28"/>
          <w:lang w:val="en-US"/>
        </w:rPr>
      </w:pPr>
      <w:r w:rsidRPr="009663D3">
        <w:rPr>
          <w:rFonts w:ascii="Times New Roman" w:hAnsi="Times New Roman" w:cs="Times New Roman"/>
          <w:iCs/>
          <w:sz w:val="28"/>
          <w:szCs w:val="28"/>
          <w:lang w:val="en-US"/>
        </w:rPr>
        <w:t>Tab. 3_ Elevated level of Canadian household indebtedness</w:t>
      </w:r>
    </w:p>
    <w:p w:rsidR="00606F59" w:rsidRPr="009663D3" w:rsidRDefault="00606F59" w:rsidP="00606F59">
      <w:pPr>
        <w:shd w:val="clear" w:color="auto" w:fill="FFFFFF"/>
        <w:spacing w:after="0" w:line="408" w:lineRule="atLeast"/>
        <w:rPr>
          <w:rFonts w:ascii="Times New Roman" w:hAnsi="Times New Roman" w:cs="Times New Roman"/>
          <w:sz w:val="28"/>
          <w:szCs w:val="28"/>
        </w:rPr>
      </w:pPr>
      <w:r w:rsidRPr="009663D3">
        <w:rPr>
          <w:rFonts w:ascii="Times New Roman" w:hAnsi="Times New Roman" w:cs="Times New Roman"/>
          <w:i/>
          <w:iCs/>
          <w:noProof/>
          <w:sz w:val="28"/>
          <w:szCs w:val="28"/>
        </w:rPr>
        <w:drawing>
          <wp:inline distT="0" distB="0" distL="0" distR="0">
            <wp:extent cx="4759325" cy="3051810"/>
            <wp:effectExtent l="19050" t="0" r="3175" b="0"/>
            <wp:docPr id="31" name="Рисунок 2" descr="http://www.bankpedia.org/images/Aversa23914/elevated%20level%20of%20canadian%20household%20indebtedn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ankpedia.org/images/Aversa23914/elevated%20level%20of%20canadian%20household%20indebtedness.png"/>
                    <pic:cNvPicPr>
                      <a:picLocks noChangeAspect="1" noChangeArrowheads="1"/>
                    </pic:cNvPicPr>
                  </pic:nvPicPr>
                  <pic:blipFill>
                    <a:blip r:embed="rId265" cstate="print"/>
                    <a:srcRect/>
                    <a:stretch>
                      <a:fillRect/>
                    </a:stretch>
                  </pic:blipFill>
                  <pic:spPr bwMode="auto">
                    <a:xfrm>
                      <a:off x="0" y="0"/>
                      <a:ext cx="4759325" cy="3051810"/>
                    </a:xfrm>
                    <a:prstGeom prst="rect">
                      <a:avLst/>
                    </a:prstGeom>
                    <a:noFill/>
                    <a:ln w="9525">
                      <a:noFill/>
                      <a:miter lim="800000"/>
                      <a:headEnd/>
                      <a:tailEnd/>
                    </a:ln>
                  </pic:spPr>
                </pic:pic>
              </a:graphicData>
            </a:graphic>
          </wp:inline>
        </w:drawing>
      </w:r>
    </w:p>
    <w:p w:rsidR="00606F59" w:rsidRPr="009663D3" w:rsidRDefault="00606F59" w:rsidP="00606F59">
      <w:pPr>
        <w:shd w:val="clear" w:color="auto" w:fill="FFFFFF"/>
        <w:spacing w:after="0" w:line="408" w:lineRule="atLeast"/>
        <w:rPr>
          <w:rFonts w:ascii="Times New Roman" w:hAnsi="Times New Roman" w:cs="Times New Roman"/>
          <w:sz w:val="28"/>
          <w:szCs w:val="28"/>
        </w:rPr>
      </w:pPr>
    </w:p>
    <w:p w:rsidR="00606F59" w:rsidRPr="009663D3" w:rsidRDefault="00606F59" w:rsidP="00606F59">
      <w:pPr>
        <w:shd w:val="clear" w:color="auto" w:fill="FFFFFF"/>
        <w:spacing w:after="0" w:line="240" w:lineRule="auto"/>
        <w:ind w:firstLine="567"/>
        <w:rPr>
          <w:rFonts w:ascii="Times New Roman" w:hAnsi="Times New Roman" w:cs="Times New Roman"/>
          <w:sz w:val="28"/>
          <w:szCs w:val="28"/>
          <w:lang w:val="en-US"/>
        </w:rPr>
      </w:pPr>
      <w:r w:rsidRPr="009663D3">
        <w:rPr>
          <w:rFonts w:ascii="Times New Roman" w:hAnsi="Times New Roman" w:cs="Times New Roman"/>
          <w:sz w:val="28"/>
          <w:szCs w:val="28"/>
          <w:lang w:val="en-US"/>
        </w:rPr>
        <w:t>3. </w:t>
      </w:r>
      <w:r w:rsidRPr="009663D3">
        <w:rPr>
          <w:rFonts w:ascii="Times New Roman" w:hAnsi="Times New Roman" w:cs="Times New Roman"/>
          <w:sz w:val="28"/>
          <w:szCs w:val="28"/>
          <w:u w:val="single"/>
          <w:lang w:val="en-US"/>
        </w:rPr>
        <w:t>Significant exposures to potential external shocks</w:t>
      </w:r>
      <w:r w:rsidRPr="009663D3">
        <w:rPr>
          <w:rFonts w:ascii="Times New Roman" w:hAnsi="Times New Roman" w:cs="Times New Roman"/>
          <w:sz w:val="28"/>
          <w:szCs w:val="28"/>
          <w:lang w:val="en-US"/>
        </w:rPr>
        <w:t>. Canada is an open economy, which means that its markets for goods, services and finance are globally integrated. While access to global markets provides important benefits to Canadian households, businesses and governments, cross-border linkages can also transmit external vulnerabilities and shocks to Canada.</w:t>
      </w:r>
    </w:p>
    <w:p w:rsidR="00606F59" w:rsidRPr="009663D3" w:rsidRDefault="00606F59" w:rsidP="00606F59">
      <w:pPr>
        <w:spacing w:after="0" w:line="240" w:lineRule="auto"/>
        <w:ind w:firstLine="567"/>
        <w:jc w:val="both"/>
        <w:rPr>
          <w:rFonts w:ascii="Times New Roman" w:hAnsi="Times New Roman" w:cs="Times New Roman"/>
          <w:sz w:val="28"/>
          <w:szCs w:val="28"/>
          <w:lang w:val="en-US"/>
        </w:rPr>
      </w:pPr>
    </w:p>
    <w:p w:rsidR="00606F59" w:rsidRPr="0068182D" w:rsidRDefault="00606F59" w:rsidP="00606F59">
      <w:pPr>
        <w:shd w:val="clear" w:color="auto" w:fill="FFFFFF"/>
        <w:spacing w:after="0" w:line="240" w:lineRule="auto"/>
        <w:ind w:firstLine="567"/>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4.</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budgets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provinces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and territories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budgets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local authorities</w:t>
      </w:r>
      <w:r w:rsidRPr="0068182D">
        <w:rPr>
          <w:rFonts w:ascii="Times New Roman" w:hAnsi="Times New Roman" w:cs="Times New Roman"/>
          <w:b/>
          <w:sz w:val="28"/>
          <w:szCs w:val="28"/>
          <w:lang w:val="en-US"/>
        </w:rPr>
        <w:t>.</w:t>
      </w:r>
    </w:p>
    <w:p w:rsidR="00606F59" w:rsidRPr="0068182D" w:rsidRDefault="00606F59" w:rsidP="00606F59">
      <w:pPr>
        <w:pStyle w:val="a6"/>
        <w:spacing w:before="0" w:beforeAutospacing="0" w:after="0" w:afterAutospacing="0"/>
        <w:ind w:firstLine="567"/>
        <w:jc w:val="both"/>
        <w:rPr>
          <w:color w:val="000000"/>
          <w:sz w:val="28"/>
          <w:szCs w:val="28"/>
          <w:lang w:val="en-US"/>
        </w:rPr>
      </w:pPr>
      <w:r w:rsidRPr="0068182D">
        <w:rPr>
          <w:color w:val="000000"/>
          <w:sz w:val="28"/>
          <w:szCs w:val="28"/>
          <w:lang w:val="en-US"/>
        </w:rPr>
        <w:t>The level of urbanization appears to serve as the barometer for provincial attitudes towards municipal institutions.  Except in extreme circumstances, such as the municipal default on loans during the Depression of the 1930s, provincial governments generally took a</w:t>
      </w:r>
      <w:r w:rsidRPr="0068182D">
        <w:rPr>
          <w:rStyle w:val="apple-converted-space"/>
          <w:color w:val="000000"/>
          <w:sz w:val="28"/>
          <w:szCs w:val="28"/>
          <w:lang w:val="en-US"/>
        </w:rPr>
        <w:t> </w:t>
      </w:r>
      <w:r w:rsidRPr="0068182D">
        <w:rPr>
          <w:rStyle w:val="a7"/>
          <w:color w:val="000000"/>
          <w:sz w:val="28"/>
          <w:szCs w:val="28"/>
          <w:lang w:val="en-US"/>
        </w:rPr>
        <w:t>laissez-faire</w:t>
      </w:r>
      <w:r w:rsidRPr="0068182D">
        <w:rPr>
          <w:rStyle w:val="apple-converted-space"/>
          <w:color w:val="000000"/>
          <w:sz w:val="28"/>
          <w:szCs w:val="28"/>
          <w:lang w:val="en-US"/>
        </w:rPr>
        <w:t> </w:t>
      </w:r>
      <w:r w:rsidRPr="0068182D">
        <w:rPr>
          <w:color w:val="000000"/>
          <w:sz w:val="28"/>
          <w:szCs w:val="28"/>
          <w:lang w:val="en-US"/>
        </w:rPr>
        <w:t>attitude to their municipalities from 1867 to 1960.  In provinces with lower percentages of urban inhabitants, local governments were allowed to go their own way and generally provided their citizens with a minimum level of services, particularly in rural areas.  Since then, however, in provinces where towns and cities have grown rapidly, the demand for services (and for money to pay for them) has led to increased provincial involvement and caused upheavals in local government systems.</w:t>
      </w:r>
    </w:p>
    <w:p w:rsidR="00606F59" w:rsidRPr="0068182D" w:rsidRDefault="00606F59" w:rsidP="00606F59">
      <w:pPr>
        <w:pStyle w:val="a6"/>
        <w:spacing w:before="0" w:beforeAutospacing="0" w:after="0" w:afterAutospacing="0"/>
        <w:ind w:firstLine="567"/>
        <w:jc w:val="both"/>
        <w:rPr>
          <w:color w:val="000000"/>
          <w:sz w:val="28"/>
          <w:szCs w:val="28"/>
          <w:lang w:val="en-US"/>
        </w:rPr>
      </w:pPr>
      <w:r w:rsidRPr="0068182D">
        <w:rPr>
          <w:color w:val="000000"/>
          <w:sz w:val="28"/>
          <w:szCs w:val="28"/>
          <w:lang w:val="en-US"/>
        </w:rPr>
        <w:t>As the growing urban centres came to play a more important role in the life of the nation, municipalities felt increasingly fettered by the unilateral control of the provinces.  By the time of the 2001 census, for example, approximately 23 metropolitan areas had a larger population than the province of Prince Edward Island; six of Canada’s largest metropolitan areas each had more citizens than any of the four Atlantic provinces; and 79.4% of Canadians lived in urban areas.  Just over half (51%) of the nation’s population lived in four major urban regions – Ontario’s Golden Horseshoe; Montréal and the adjacent region; British Columbia’s Lower Mainland and southern Vancouver Island; and the Calgary-Edmonton Corridor.</w:t>
      </w:r>
      <w:hyperlink r:id="rId266" w:anchor="footnote4" w:history="1">
        <w:r w:rsidRPr="0068182D">
          <w:rPr>
            <w:rStyle w:val="a5"/>
            <w:rFonts w:eastAsiaTheme="majorEastAsia"/>
            <w:sz w:val="28"/>
            <w:szCs w:val="28"/>
            <w:lang w:val="en-US"/>
          </w:rPr>
          <w:t>(4)</w:t>
        </w:r>
      </w:hyperlink>
      <w:r w:rsidRPr="0068182D">
        <w:rPr>
          <w:color w:val="000000"/>
          <w:sz w:val="28"/>
          <w:szCs w:val="28"/>
          <w:lang w:val="en-US"/>
        </w:rPr>
        <w:t>  At the same time, none of the municipalities, whether large or small, could exercise any real fiscal or legislative autonomy.</w:t>
      </w:r>
      <w:hyperlink r:id="rId267" w:anchor="footnote5" w:history="1">
        <w:r w:rsidRPr="0068182D">
          <w:rPr>
            <w:rStyle w:val="a5"/>
            <w:rFonts w:eastAsiaTheme="majorEastAsia"/>
            <w:sz w:val="28"/>
            <w:szCs w:val="28"/>
            <w:lang w:val="en-US"/>
          </w:rPr>
          <w:t>(5)</w:t>
        </w:r>
      </w:hyperlink>
    </w:p>
    <w:p w:rsidR="00606F59" w:rsidRPr="0068182D" w:rsidRDefault="00606F59" w:rsidP="00606F59">
      <w:pPr>
        <w:pStyle w:val="a6"/>
        <w:spacing w:before="0" w:beforeAutospacing="0" w:after="0" w:afterAutospacing="0"/>
        <w:ind w:firstLine="567"/>
        <w:jc w:val="both"/>
        <w:rPr>
          <w:color w:val="000000"/>
          <w:sz w:val="28"/>
          <w:szCs w:val="28"/>
          <w:lang w:val="en-US"/>
        </w:rPr>
      </w:pPr>
      <w:r w:rsidRPr="0068182D">
        <w:rPr>
          <w:color w:val="000000"/>
          <w:sz w:val="28"/>
          <w:szCs w:val="28"/>
          <w:lang w:val="en-US"/>
        </w:rPr>
        <w:t>In recent years, provincial governments have increasingly exerted control over municipal activities (location of hospitals and provision of social services, for example).  The provinces, however, have consistently resisted any direct and formal federal involvement with their subordinate level of government, even though the federal government – through joint federal-provincial programs – has been putting up money for services ultimately delivered by the municipalities.  Provinces have particularly opposed the establishment of any federal department or agency with a mandate to deal specifically and directly with municipal governments.  Apart from the grants that the federal government pays directly to municipalities in lieu of property taxes, federal funds are channelled to municipalities almost entirely through federal-provincial agreements.  Infrastructure Canada’s programs are cooperative ventures between all levels of government.  For example, the provision of a share of federal gas tax revenues to municipalities is done through bilateral agreements with the provinces, territories and First Nations.</w:t>
      </w:r>
    </w:p>
    <w:p w:rsidR="00606F59" w:rsidRPr="0068182D" w:rsidRDefault="00606F59" w:rsidP="00606F59">
      <w:pPr>
        <w:pStyle w:val="a6"/>
        <w:spacing w:before="0" w:beforeAutospacing="0" w:after="0" w:afterAutospacing="0"/>
        <w:ind w:firstLine="567"/>
        <w:jc w:val="both"/>
        <w:rPr>
          <w:color w:val="000000"/>
          <w:sz w:val="28"/>
          <w:szCs w:val="28"/>
          <w:lang w:val="en-US"/>
        </w:rPr>
      </w:pPr>
      <w:r w:rsidRPr="0068182D">
        <w:rPr>
          <w:color w:val="000000"/>
          <w:sz w:val="28"/>
          <w:szCs w:val="28"/>
          <w:lang w:val="en-US"/>
        </w:rPr>
        <w:t>Because of the broad range of federal activities that impinge on local areas, however, the provinces have not been able to prevent at least</w:t>
      </w:r>
      <w:r w:rsidRPr="0068182D">
        <w:rPr>
          <w:rStyle w:val="apple-converted-space"/>
          <w:color w:val="000000"/>
          <w:sz w:val="28"/>
          <w:szCs w:val="28"/>
          <w:lang w:val="en-US"/>
        </w:rPr>
        <w:t> </w:t>
      </w:r>
      <w:r w:rsidRPr="0068182D">
        <w:rPr>
          <w:rStyle w:val="a7"/>
          <w:color w:val="000000"/>
          <w:sz w:val="28"/>
          <w:szCs w:val="28"/>
          <w:lang w:val="en-US"/>
        </w:rPr>
        <w:t>ad hoc</w:t>
      </w:r>
      <w:r w:rsidRPr="0068182D">
        <w:rPr>
          <w:rStyle w:val="apple-converted-space"/>
          <w:color w:val="000000"/>
          <w:sz w:val="28"/>
          <w:szCs w:val="28"/>
          <w:lang w:val="en-US"/>
        </w:rPr>
        <w:t> </w:t>
      </w:r>
      <w:r w:rsidRPr="0068182D">
        <w:rPr>
          <w:color w:val="000000"/>
          <w:sz w:val="28"/>
          <w:szCs w:val="28"/>
          <w:lang w:val="en-US"/>
        </w:rPr>
        <w:t>contact between federal departments and the municipalities.  Historically, such linkages have followed informal and functional lines.  For example, federal transportation specialists deal directly with municipalities about bridges over level crossings of railroads and roadways.  It is also important to note that local governments are subject to various federal actions that can affect municipal options and significantly alter the physical and social fabric of urban centres.  One example of this might be the impact of federal immigration policy on larger cities, such as Toronto, Montréal or Vancouver.  A second example might be the impact that federal cuts to social programs, such as Employment Insurance, may have on homelessness and poverty.  The federal government can also exert some control over municipal activities by means of the conditions it attaches to grants to the provinces.</w:t>
      </w:r>
    </w:p>
    <w:p w:rsidR="00606F59" w:rsidRPr="0068182D" w:rsidRDefault="00606F59" w:rsidP="00606F59">
      <w:pPr>
        <w:pStyle w:val="a6"/>
        <w:spacing w:before="0" w:beforeAutospacing="0" w:after="0" w:afterAutospacing="0"/>
        <w:ind w:firstLine="567"/>
        <w:jc w:val="both"/>
        <w:rPr>
          <w:color w:val="000000"/>
          <w:sz w:val="28"/>
          <w:szCs w:val="28"/>
          <w:lang w:val="en-US"/>
        </w:rPr>
      </w:pPr>
      <w:r w:rsidRPr="0068182D">
        <w:rPr>
          <w:color w:val="000000"/>
          <w:sz w:val="28"/>
          <w:szCs w:val="28"/>
          <w:lang w:val="en-US"/>
        </w:rPr>
        <w:t>Lack of coordination between</w:t>
      </w:r>
      <w:r w:rsidRPr="0068182D">
        <w:rPr>
          <w:rStyle w:val="apple-converted-space"/>
          <w:color w:val="000000"/>
          <w:sz w:val="28"/>
          <w:szCs w:val="28"/>
          <w:lang w:val="en-US"/>
        </w:rPr>
        <w:t> </w:t>
      </w:r>
      <w:r w:rsidRPr="0068182D">
        <w:rPr>
          <w:rStyle w:val="a7"/>
          <w:color w:val="000000"/>
          <w:sz w:val="28"/>
          <w:szCs w:val="28"/>
          <w:lang w:val="en-US"/>
        </w:rPr>
        <w:t>ad hoc</w:t>
      </w:r>
      <w:r w:rsidRPr="0068182D">
        <w:rPr>
          <w:rStyle w:val="apple-converted-space"/>
          <w:color w:val="000000"/>
          <w:sz w:val="28"/>
          <w:szCs w:val="28"/>
          <w:lang w:val="en-US"/>
        </w:rPr>
        <w:t> </w:t>
      </w:r>
      <w:r w:rsidRPr="0068182D">
        <w:rPr>
          <w:color w:val="000000"/>
          <w:sz w:val="28"/>
          <w:szCs w:val="28"/>
          <w:lang w:val="en-US"/>
        </w:rPr>
        <w:t>federal activities and relationships and the rapidly expanding municipalities began to cause problems in the 1960s.  It became evident that the solutions to local problems often had more than a local impact and that federal projects could have undesirable environmental or developmental consequences for municipal governments.  For example, the Canada Mortgage and Housing Corporation’s financing of residential construction near Toronto International Airport in the 1960s pre-empted any plans by the federal Department of Transport to expand that facility.  In the late 1960s, programs administered by 27 federal agencies had some influence over urban development plans.  Other federal actions had unintended consequences for urban life.  For example, the</w:t>
      </w:r>
      <w:r w:rsidRPr="0068182D">
        <w:rPr>
          <w:rStyle w:val="apple-converted-space"/>
          <w:color w:val="000000"/>
          <w:sz w:val="28"/>
          <w:szCs w:val="28"/>
          <w:lang w:val="en-US"/>
        </w:rPr>
        <w:t> </w:t>
      </w:r>
      <w:r w:rsidRPr="0068182D">
        <w:rPr>
          <w:rStyle w:val="a7"/>
          <w:color w:val="000000"/>
          <w:sz w:val="28"/>
          <w:szCs w:val="28"/>
          <w:lang w:val="en-US"/>
        </w:rPr>
        <w:t>Income Tax Act</w:t>
      </w:r>
      <w:r w:rsidRPr="0068182D">
        <w:rPr>
          <w:rStyle w:val="apple-converted-space"/>
          <w:color w:val="000000"/>
          <w:sz w:val="28"/>
          <w:szCs w:val="28"/>
          <w:lang w:val="en-US"/>
        </w:rPr>
        <w:t> </w:t>
      </w:r>
      <w:r w:rsidRPr="0068182D">
        <w:rPr>
          <w:color w:val="000000"/>
          <w:sz w:val="28"/>
          <w:szCs w:val="28"/>
          <w:lang w:val="en-US"/>
        </w:rPr>
        <w:t>deduction for businesses providing parking spaces to employees contributed to urban street congestion.</w:t>
      </w:r>
    </w:p>
    <w:p w:rsidR="00606F59" w:rsidRPr="0068182D" w:rsidRDefault="00606F59" w:rsidP="00606F59">
      <w:pPr>
        <w:pStyle w:val="a6"/>
        <w:spacing w:before="0" w:beforeAutospacing="0" w:after="0" w:afterAutospacing="0"/>
        <w:ind w:firstLine="567"/>
        <w:jc w:val="both"/>
        <w:rPr>
          <w:sz w:val="28"/>
          <w:szCs w:val="28"/>
          <w:shd w:val="clear" w:color="auto" w:fill="FFFFFF"/>
          <w:lang w:val="en-US"/>
        </w:rPr>
      </w:pPr>
      <w:r w:rsidRPr="0068182D">
        <w:rPr>
          <w:sz w:val="28"/>
          <w:szCs w:val="28"/>
          <w:shd w:val="clear" w:color="auto" w:fill="FFFFFF"/>
          <w:lang w:val="en-US"/>
        </w:rPr>
        <w:t xml:space="preserve">In Canada, governments at </w:t>
      </w:r>
      <w:r w:rsidR="009663D3">
        <w:rPr>
          <w:sz w:val="28"/>
          <w:szCs w:val="28"/>
          <w:shd w:val="clear" w:color="auto" w:fill="FFFFFF"/>
          <w:lang w:val="en-US"/>
        </w:rPr>
        <w:t>t</w:t>
      </w:r>
      <w:r w:rsidRPr="0068182D">
        <w:rPr>
          <w:sz w:val="28"/>
          <w:szCs w:val="28"/>
          <w:shd w:val="clear" w:color="auto" w:fill="FFFFFF"/>
          <w:lang w:val="en-US"/>
        </w:rPr>
        <w:t>he</w:t>
      </w:r>
      <w:r w:rsidR="009663D3">
        <w:rPr>
          <w:sz w:val="28"/>
          <w:szCs w:val="28"/>
          <w:shd w:val="clear" w:color="auto" w:fill="FFFFFF"/>
          <w:lang w:val="en-US"/>
        </w:rPr>
        <w:t xml:space="preserve"> </w:t>
      </w:r>
      <w:hyperlink r:id="rId268" w:tooltip="Government of Canada" w:history="1">
        <w:r w:rsidRPr="0068182D">
          <w:rPr>
            <w:rStyle w:val="a5"/>
            <w:rFonts w:eastAsiaTheme="majorEastAsia"/>
            <w:color w:val="auto"/>
            <w:sz w:val="28"/>
            <w:szCs w:val="28"/>
            <w:shd w:val="clear" w:color="auto" w:fill="FFFFFF"/>
            <w:lang w:val="en-US"/>
          </w:rPr>
          <w:t>federal</w:t>
        </w:r>
      </w:hyperlink>
      <w:r w:rsidRPr="0068182D">
        <w:rPr>
          <w:sz w:val="28"/>
          <w:szCs w:val="28"/>
          <w:shd w:val="clear" w:color="auto" w:fill="FFFFFF"/>
          <w:lang w:val="en-US"/>
        </w:rPr>
        <w:t>,</w:t>
      </w:r>
      <w:r w:rsidR="009663D3">
        <w:rPr>
          <w:sz w:val="28"/>
          <w:szCs w:val="28"/>
          <w:shd w:val="clear" w:color="auto" w:fill="FFFFFF"/>
          <w:lang w:val="en-US"/>
        </w:rPr>
        <w:t xml:space="preserve"> </w:t>
      </w:r>
      <w:hyperlink r:id="rId269" w:tooltip="Province" w:history="1">
        <w:r w:rsidRPr="0068182D">
          <w:rPr>
            <w:rStyle w:val="a5"/>
            <w:rFonts w:eastAsiaTheme="majorEastAsia"/>
            <w:color w:val="auto"/>
            <w:sz w:val="28"/>
            <w:szCs w:val="28"/>
            <w:shd w:val="clear" w:color="auto" w:fill="FFFFFF"/>
            <w:lang w:val="en-US"/>
          </w:rPr>
          <w:t>provincial</w:t>
        </w:r>
      </w:hyperlink>
      <w:r w:rsidRPr="0068182D">
        <w:rPr>
          <w:sz w:val="28"/>
          <w:szCs w:val="28"/>
          <w:shd w:val="clear" w:color="auto" w:fill="FFFFFF"/>
          <w:lang w:val="en-US"/>
        </w:rPr>
        <w:t>,</w:t>
      </w:r>
      <w:r w:rsidR="009663D3">
        <w:rPr>
          <w:sz w:val="28"/>
          <w:szCs w:val="28"/>
          <w:shd w:val="clear" w:color="auto" w:fill="FFFFFF"/>
          <w:lang w:val="en-US"/>
        </w:rPr>
        <w:t xml:space="preserve"> </w:t>
      </w:r>
      <w:hyperlink r:id="rId270" w:tooltip="Territories of Canada" w:history="1">
        <w:r w:rsidRPr="0068182D">
          <w:rPr>
            <w:rStyle w:val="a5"/>
            <w:rFonts w:eastAsiaTheme="majorEastAsia"/>
            <w:color w:val="auto"/>
            <w:sz w:val="28"/>
            <w:szCs w:val="28"/>
            <w:shd w:val="clear" w:color="auto" w:fill="FFFFFF"/>
            <w:lang w:val="en-US"/>
          </w:rPr>
          <w:t>territorial</w:t>
        </w:r>
      </w:hyperlink>
      <w:r w:rsidR="009663D3">
        <w:rPr>
          <w:lang w:val="en-US"/>
        </w:rPr>
        <w:t xml:space="preserve"> </w:t>
      </w:r>
      <w:r w:rsidRPr="0068182D">
        <w:rPr>
          <w:sz w:val="28"/>
          <w:szCs w:val="28"/>
          <w:shd w:val="clear" w:color="auto" w:fill="FFFFFF"/>
          <w:lang w:val="en-US"/>
        </w:rPr>
        <w:t>and</w:t>
      </w:r>
      <w:r w:rsidR="009663D3">
        <w:rPr>
          <w:sz w:val="28"/>
          <w:szCs w:val="28"/>
          <w:shd w:val="clear" w:color="auto" w:fill="FFFFFF"/>
          <w:lang w:val="en-US"/>
        </w:rPr>
        <w:t xml:space="preserve"> </w:t>
      </w:r>
      <w:hyperlink r:id="rId271" w:tooltip="Municipality" w:history="1">
        <w:r w:rsidRPr="0068182D">
          <w:rPr>
            <w:rStyle w:val="a5"/>
            <w:rFonts w:eastAsiaTheme="majorEastAsia"/>
            <w:color w:val="auto"/>
            <w:sz w:val="28"/>
            <w:szCs w:val="28"/>
            <w:shd w:val="clear" w:color="auto" w:fill="FFFFFF"/>
            <w:lang w:val="en-US"/>
          </w:rPr>
          <w:t>municipal</w:t>
        </w:r>
      </w:hyperlink>
      <w:r w:rsidR="009663D3">
        <w:rPr>
          <w:lang w:val="en-US"/>
        </w:rPr>
        <w:t xml:space="preserve"> </w:t>
      </w:r>
      <w:r w:rsidRPr="0068182D">
        <w:rPr>
          <w:sz w:val="28"/>
          <w:szCs w:val="28"/>
          <w:shd w:val="clear" w:color="auto" w:fill="FFFFFF"/>
          <w:lang w:val="en-US"/>
        </w:rPr>
        <w:t>levels</w:t>
      </w:r>
      <w:r w:rsidR="009663D3">
        <w:rPr>
          <w:sz w:val="28"/>
          <w:szCs w:val="28"/>
          <w:shd w:val="clear" w:color="auto" w:fill="FFFFFF"/>
          <w:lang w:val="en-US"/>
        </w:rPr>
        <w:t xml:space="preserve"> </w:t>
      </w:r>
      <w:r w:rsidRPr="0068182D">
        <w:rPr>
          <w:sz w:val="28"/>
          <w:szCs w:val="28"/>
          <w:shd w:val="clear" w:color="auto" w:fill="FFFFFF"/>
          <w:lang w:val="en-US"/>
        </w:rPr>
        <w:t>have the power to spend public funds. This is a</w:t>
      </w:r>
      <w:r w:rsidRPr="0068182D">
        <w:rPr>
          <w:rStyle w:val="apple-converted-space"/>
          <w:sz w:val="28"/>
          <w:szCs w:val="28"/>
          <w:shd w:val="clear" w:color="auto" w:fill="FFFFFF"/>
          <w:lang w:val="en-US"/>
        </w:rPr>
        <w:t> </w:t>
      </w:r>
      <w:r w:rsidRPr="0068182D">
        <w:rPr>
          <w:b/>
          <w:bCs/>
          <w:sz w:val="28"/>
          <w:szCs w:val="28"/>
          <w:shd w:val="clear" w:color="auto" w:fill="FFFFFF"/>
          <w:lang w:val="en-US"/>
        </w:rPr>
        <w:t>list of governments by annual expenditures</w:t>
      </w:r>
      <w:r w:rsidRPr="0068182D">
        <w:rPr>
          <w:sz w:val="28"/>
          <w:szCs w:val="28"/>
          <w:shd w:val="clear" w:color="auto" w:fill="FFFFFF"/>
          <w:lang w:val="en-US"/>
        </w:rPr>
        <w:t>, in</w:t>
      </w:r>
      <w:r w:rsidRPr="0068182D">
        <w:rPr>
          <w:rStyle w:val="apple-converted-space"/>
          <w:sz w:val="28"/>
          <w:szCs w:val="28"/>
          <w:shd w:val="clear" w:color="auto" w:fill="FFFFFF"/>
          <w:lang w:val="en-US"/>
        </w:rPr>
        <w:t> </w:t>
      </w:r>
      <w:hyperlink r:id="rId272" w:tooltip="Canadian dollars" w:history="1">
        <w:r w:rsidRPr="0068182D">
          <w:rPr>
            <w:rStyle w:val="a5"/>
            <w:rFonts w:eastAsiaTheme="majorEastAsia"/>
            <w:color w:val="auto"/>
            <w:sz w:val="28"/>
            <w:szCs w:val="28"/>
            <w:shd w:val="clear" w:color="auto" w:fill="FFFFFF"/>
            <w:lang w:val="en-US"/>
          </w:rPr>
          <w:t>Canadian dollars</w:t>
        </w:r>
      </w:hyperlink>
      <w:r w:rsidRPr="0068182D">
        <w:rPr>
          <w:sz w:val="28"/>
          <w:szCs w:val="28"/>
          <w:shd w:val="clear" w:color="auto" w:fill="FFFFFF"/>
          <w:lang w:val="en-US"/>
        </w:rPr>
        <w:t>.</w:t>
      </w:r>
    </w:p>
    <w:p w:rsidR="00732CDE" w:rsidRPr="0068182D" w:rsidRDefault="00732CDE" w:rsidP="00606F59">
      <w:pPr>
        <w:pStyle w:val="a6"/>
        <w:spacing w:before="0" w:beforeAutospacing="0" w:after="0" w:afterAutospacing="0"/>
        <w:ind w:firstLine="567"/>
        <w:jc w:val="both"/>
        <w:rPr>
          <w:sz w:val="28"/>
          <w:szCs w:val="28"/>
          <w:shd w:val="clear" w:color="auto" w:fill="FFFFF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089"/>
        <w:gridCol w:w="2407"/>
        <w:gridCol w:w="1723"/>
        <w:gridCol w:w="2018"/>
        <w:gridCol w:w="1620"/>
        <w:gridCol w:w="1020"/>
      </w:tblGrid>
      <w:tr w:rsidR="00606F59" w:rsidRPr="0068182D" w:rsidTr="00606F59">
        <w:trPr>
          <w:tblHeader/>
        </w:trPr>
        <w:tc>
          <w:tcPr>
            <w:tcW w:w="1089" w:type="dxa"/>
            <w:shd w:val="clear" w:color="auto" w:fill="auto"/>
            <w:tcMar>
              <w:top w:w="48" w:type="dxa"/>
              <w:left w:w="96" w:type="dxa"/>
              <w:bottom w:w="48" w:type="dxa"/>
              <w:right w:w="364" w:type="dxa"/>
            </w:tcMar>
            <w:vAlign w:val="center"/>
            <w:hideMark/>
          </w:tcPr>
          <w:p w:rsidR="00606F59" w:rsidRPr="0068182D" w:rsidRDefault="00606F59" w:rsidP="00606F59">
            <w:pPr>
              <w:spacing w:after="0" w:line="240" w:lineRule="auto"/>
              <w:jc w:val="center"/>
              <w:rPr>
                <w:rFonts w:ascii="Times New Roman" w:hAnsi="Times New Roman" w:cs="Times New Roman"/>
                <w:b/>
                <w:bCs/>
                <w:sz w:val="28"/>
                <w:szCs w:val="28"/>
              </w:rPr>
            </w:pPr>
            <w:r w:rsidRPr="0068182D">
              <w:rPr>
                <w:rFonts w:ascii="Times New Roman" w:hAnsi="Times New Roman" w:cs="Times New Roman"/>
                <w:b/>
                <w:bCs/>
                <w:sz w:val="28"/>
                <w:szCs w:val="28"/>
              </w:rPr>
              <w:t>Rank</w:t>
            </w:r>
          </w:p>
        </w:tc>
        <w:tc>
          <w:tcPr>
            <w:tcW w:w="2407" w:type="dxa"/>
            <w:shd w:val="clear" w:color="auto" w:fill="auto"/>
            <w:tcMar>
              <w:top w:w="48" w:type="dxa"/>
              <w:left w:w="96" w:type="dxa"/>
              <w:bottom w:w="48" w:type="dxa"/>
              <w:right w:w="364" w:type="dxa"/>
            </w:tcMar>
            <w:vAlign w:val="center"/>
            <w:hideMark/>
          </w:tcPr>
          <w:p w:rsidR="00606F59" w:rsidRPr="0068182D" w:rsidRDefault="00606F59" w:rsidP="00606F59">
            <w:pPr>
              <w:spacing w:after="0" w:line="240" w:lineRule="auto"/>
              <w:jc w:val="center"/>
              <w:rPr>
                <w:rFonts w:ascii="Times New Roman" w:hAnsi="Times New Roman" w:cs="Times New Roman"/>
                <w:b/>
                <w:bCs/>
                <w:sz w:val="28"/>
                <w:szCs w:val="28"/>
              </w:rPr>
            </w:pPr>
            <w:r w:rsidRPr="0068182D">
              <w:rPr>
                <w:rFonts w:ascii="Times New Roman" w:hAnsi="Times New Roman" w:cs="Times New Roman"/>
                <w:b/>
                <w:bCs/>
                <w:sz w:val="28"/>
                <w:szCs w:val="28"/>
              </w:rPr>
              <w:t>Name</w:t>
            </w:r>
          </w:p>
        </w:tc>
        <w:tc>
          <w:tcPr>
            <w:tcW w:w="1723" w:type="dxa"/>
            <w:shd w:val="clear" w:color="auto" w:fill="auto"/>
            <w:tcMar>
              <w:top w:w="48" w:type="dxa"/>
              <w:left w:w="96" w:type="dxa"/>
              <w:bottom w:w="48" w:type="dxa"/>
              <w:right w:w="364" w:type="dxa"/>
            </w:tcMar>
            <w:vAlign w:val="center"/>
            <w:hideMark/>
          </w:tcPr>
          <w:p w:rsidR="00606F59" w:rsidRPr="0068182D" w:rsidRDefault="00606F59" w:rsidP="00606F59">
            <w:pPr>
              <w:spacing w:after="0" w:line="240" w:lineRule="auto"/>
              <w:jc w:val="center"/>
              <w:rPr>
                <w:rFonts w:ascii="Times New Roman" w:hAnsi="Times New Roman" w:cs="Times New Roman"/>
                <w:b/>
                <w:bCs/>
                <w:sz w:val="28"/>
                <w:szCs w:val="28"/>
              </w:rPr>
            </w:pPr>
            <w:r w:rsidRPr="0068182D">
              <w:rPr>
                <w:rFonts w:ascii="Times New Roman" w:hAnsi="Times New Roman" w:cs="Times New Roman"/>
                <w:b/>
                <w:bCs/>
                <w:sz w:val="28"/>
                <w:szCs w:val="28"/>
              </w:rPr>
              <w:t>Level of government</w:t>
            </w:r>
          </w:p>
        </w:tc>
        <w:tc>
          <w:tcPr>
            <w:tcW w:w="2018" w:type="dxa"/>
            <w:shd w:val="clear" w:color="auto" w:fill="auto"/>
            <w:tcMar>
              <w:top w:w="48" w:type="dxa"/>
              <w:left w:w="96" w:type="dxa"/>
              <w:bottom w:w="48" w:type="dxa"/>
              <w:right w:w="364" w:type="dxa"/>
            </w:tcMar>
            <w:vAlign w:val="center"/>
            <w:hideMark/>
          </w:tcPr>
          <w:p w:rsidR="00606F59" w:rsidRPr="0068182D" w:rsidRDefault="00606F59" w:rsidP="00606F59">
            <w:pPr>
              <w:spacing w:after="0" w:line="240" w:lineRule="auto"/>
              <w:jc w:val="center"/>
              <w:rPr>
                <w:rFonts w:ascii="Times New Roman" w:hAnsi="Times New Roman" w:cs="Times New Roman"/>
                <w:b/>
                <w:bCs/>
                <w:sz w:val="28"/>
                <w:szCs w:val="28"/>
              </w:rPr>
            </w:pPr>
            <w:r w:rsidRPr="0068182D">
              <w:rPr>
                <w:rFonts w:ascii="Times New Roman" w:hAnsi="Times New Roman" w:cs="Times New Roman"/>
                <w:b/>
                <w:bCs/>
                <w:sz w:val="28"/>
                <w:szCs w:val="28"/>
              </w:rPr>
              <w:t>Total expenditure</w:t>
            </w:r>
          </w:p>
        </w:tc>
        <w:tc>
          <w:tcPr>
            <w:tcW w:w="1620" w:type="dxa"/>
            <w:shd w:val="clear" w:color="auto" w:fill="auto"/>
            <w:tcMar>
              <w:top w:w="48" w:type="dxa"/>
              <w:left w:w="96" w:type="dxa"/>
              <w:bottom w:w="48" w:type="dxa"/>
              <w:right w:w="364" w:type="dxa"/>
            </w:tcMar>
            <w:vAlign w:val="center"/>
            <w:hideMark/>
          </w:tcPr>
          <w:p w:rsidR="00606F59" w:rsidRPr="0068182D" w:rsidRDefault="00606F59" w:rsidP="00606F59">
            <w:pPr>
              <w:spacing w:after="0" w:line="240" w:lineRule="auto"/>
              <w:jc w:val="center"/>
              <w:rPr>
                <w:rFonts w:ascii="Times New Roman" w:hAnsi="Times New Roman" w:cs="Times New Roman"/>
                <w:b/>
                <w:bCs/>
                <w:sz w:val="28"/>
                <w:szCs w:val="28"/>
              </w:rPr>
            </w:pPr>
            <w:r w:rsidRPr="0068182D">
              <w:rPr>
                <w:rFonts w:ascii="Times New Roman" w:hAnsi="Times New Roman" w:cs="Times New Roman"/>
                <w:b/>
                <w:bCs/>
                <w:sz w:val="28"/>
                <w:szCs w:val="28"/>
              </w:rPr>
              <w:t>Per-capita expenditure</w:t>
            </w:r>
          </w:p>
        </w:tc>
        <w:tc>
          <w:tcPr>
            <w:tcW w:w="1020" w:type="dxa"/>
            <w:shd w:val="clear" w:color="auto" w:fill="auto"/>
            <w:tcMar>
              <w:top w:w="48" w:type="dxa"/>
              <w:left w:w="96" w:type="dxa"/>
              <w:bottom w:w="48" w:type="dxa"/>
              <w:right w:w="364" w:type="dxa"/>
            </w:tcMar>
            <w:vAlign w:val="center"/>
            <w:hideMark/>
          </w:tcPr>
          <w:p w:rsidR="00606F59" w:rsidRPr="0068182D" w:rsidRDefault="00606F59" w:rsidP="00606F59">
            <w:pPr>
              <w:spacing w:after="0" w:line="240" w:lineRule="auto"/>
              <w:jc w:val="center"/>
              <w:rPr>
                <w:rFonts w:ascii="Times New Roman" w:hAnsi="Times New Roman" w:cs="Times New Roman"/>
                <w:b/>
                <w:bCs/>
                <w:sz w:val="28"/>
                <w:szCs w:val="28"/>
              </w:rPr>
            </w:pPr>
            <w:r w:rsidRPr="0068182D">
              <w:rPr>
                <w:rFonts w:ascii="Times New Roman" w:hAnsi="Times New Roman" w:cs="Times New Roman"/>
                <w:b/>
                <w:bCs/>
                <w:sz w:val="28"/>
                <w:szCs w:val="28"/>
              </w:rPr>
              <w:t>Fiscal year</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73" w:tooltip="Canada" w:history="1">
              <w:r w:rsidR="00606F59" w:rsidRPr="0068182D">
                <w:rPr>
                  <w:rFonts w:ascii="Times New Roman" w:hAnsi="Times New Roman" w:cs="Times New Roman"/>
                  <w:sz w:val="28"/>
                  <w:szCs w:val="28"/>
                </w:rPr>
                <w:t>Canada</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Federal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280,500,000,000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74" w:tooltip="2010 Canadian federal budget" w:history="1">
              <w:r w:rsidR="00606F59" w:rsidRPr="0068182D">
                <w:rPr>
                  <w:rFonts w:ascii="Times New Roman" w:hAnsi="Times New Roman" w:cs="Times New Roman"/>
                  <w:sz w:val="28"/>
                  <w:szCs w:val="28"/>
                </w:rPr>
                <w:t>2010-11</w:t>
              </w:r>
            </w:hyperlink>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75" w:tooltip="Ontario" w:history="1">
              <w:r w:rsidR="00606F59" w:rsidRPr="0068182D">
                <w:rPr>
                  <w:rFonts w:ascii="Times New Roman" w:hAnsi="Times New Roman" w:cs="Times New Roman"/>
                  <w:sz w:val="28"/>
                  <w:szCs w:val="28"/>
                </w:rPr>
                <w:t>Ontario</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Provincial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129,000,000,000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3</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76" w:tooltip="Quebec" w:history="1">
              <w:r w:rsidR="00606F59" w:rsidRPr="0068182D">
                <w:rPr>
                  <w:rFonts w:ascii="Times New Roman" w:hAnsi="Times New Roman" w:cs="Times New Roman"/>
                  <w:sz w:val="28"/>
                  <w:szCs w:val="28"/>
                </w:rPr>
                <w:t>Quebec</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Provincial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69,551,000,000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4</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77" w:tooltip="British Columbia" w:history="1">
              <w:r w:rsidR="00606F59" w:rsidRPr="0068182D">
                <w:rPr>
                  <w:rFonts w:ascii="Times New Roman" w:hAnsi="Times New Roman" w:cs="Times New Roman"/>
                  <w:sz w:val="28"/>
                  <w:szCs w:val="28"/>
                </w:rPr>
                <w:t>British Columbia</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Provincial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40,600,000,000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5</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78" w:tooltip="Alberta" w:history="1">
              <w:r w:rsidR="00606F59" w:rsidRPr="0068182D">
                <w:rPr>
                  <w:rFonts w:ascii="Times New Roman" w:hAnsi="Times New Roman" w:cs="Times New Roman"/>
                  <w:sz w:val="28"/>
                  <w:szCs w:val="28"/>
                </w:rPr>
                <w:t>Alberta</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Provincial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38,712,000,000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6</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79" w:tooltip="Manitoba" w:history="1">
              <w:r w:rsidR="00606F59" w:rsidRPr="0068182D">
                <w:rPr>
                  <w:rFonts w:ascii="Times New Roman" w:hAnsi="Times New Roman" w:cs="Times New Roman"/>
                  <w:sz w:val="28"/>
                  <w:szCs w:val="28"/>
                </w:rPr>
                <w:t>Manitoba</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Provincial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10,754,577,000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7</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80" w:tooltip="Saskatchewan" w:history="1">
              <w:r w:rsidR="00606F59" w:rsidRPr="0068182D">
                <w:rPr>
                  <w:rFonts w:ascii="Times New Roman" w:hAnsi="Times New Roman" w:cs="Times New Roman"/>
                  <w:sz w:val="28"/>
                  <w:szCs w:val="28"/>
                </w:rPr>
                <w:t>Saskatchewan</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Provincial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10,124,086,000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8</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81" w:tooltip="Toronto" w:history="1">
              <w:r w:rsidR="00606F59" w:rsidRPr="0068182D">
                <w:rPr>
                  <w:rFonts w:ascii="Times New Roman" w:hAnsi="Times New Roman" w:cs="Times New Roman"/>
                  <w:sz w:val="28"/>
                  <w:szCs w:val="28"/>
                </w:rPr>
                <w:t>Toronto</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Municipal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9,200,000,000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3,500</w:t>
            </w: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9</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82" w:tooltip="Nova Scotia" w:history="1">
              <w:r w:rsidR="00606F59" w:rsidRPr="0068182D">
                <w:rPr>
                  <w:rFonts w:ascii="Times New Roman" w:hAnsi="Times New Roman" w:cs="Times New Roman"/>
                  <w:sz w:val="28"/>
                  <w:szCs w:val="28"/>
                </w:rPr>
                <w:t>Nova Scotia</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Provincial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9,044,361,000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10</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83" w:tooltip="New Brunswick" w:history="1">
              <w:r w:rsidR="00606F59" w:rsidRPr="0068182D">
                <w:rPr>
                  <w:rFonts w:ascii="Times New Roman" w:hAnsi="Times New Roman" w:cs="Times New Roman"/>
                  <w:sz w:val="28"/>
                  <w:szCs w:val="28"/>
                </w:rPr>
                <w:t>New Brunswick</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Provincial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7,880,476,000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11</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84" w:tooltip="Newfoundland and Labrador" w:history="1">
              <w:r w:rsidR="00606F59" w:rsidRPr="0068182D">
                <w:rPr>
                  <w:rFonts w:ascii="Times New Roman" w:hAnsi="Times New Roman" w:cs="Times New Roman"/>
                  <w:sz w:val="28"/>
                  <w:szCs w:val="28"/>
                </w:rPr>
                <w:t>Newfoundland and Labrador</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Provincial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7,398,090,400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12</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85" w:tooltip="Montreal" w:history="1">
              <w:r w:rsidR="00606F59" w:rsidRPr="0068182D">
                <w:rPr>
                  <w:rFonts w:ascii="Times New Roman" w:hAnsi="Times New Roman" w:cs="Times New Roman"/>
                  <w:sz w:val="28"/>
                  <w:szCs w:val="28"/>
                </w:rPr>
                <w:t>Montreal</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Municipal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4,298,100,000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1,400</w:t>
            </w: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13</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86" w:tooltip="Ottawa" w:history="1">
              <w:r w:rsidR="00606F59" w:rsidRPr="0068182D">
                <w:rPr>
                  <w:rFonts w:ascii="Times New Roman" w:hAnsi="Times New Roman" w:cs="Times New Roman"/>
                  <w:sz w:val="28"/>
                  <w:szCs w:val="28"/>
                </w:rPr>
                <w:t>Ottawa</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Municipal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2,272,531,000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2,600</w:t>
            </w: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14</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87" w:tooltip="Prince Edward Island" w:history="1">
              <w:r w:rsidR="00606F59" w:rsidRPr="0068182D">
                <w:rPr>
                  <w:rFonts w:ascii="Times New Roman" w:hAnsi="Times New Roman" w:cs="Times New Roman"/>
                  <w:sz w:val="28"/>
                  <w:szCs w:val="28"/>
                </w:rPr>
                <w:t>Prince Edward Island</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Provincial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1,515,900,000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15</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88" w:tooltip="Nunavut" w:history="1">
              <w:r w:rsidR="00606F59" w:rsidRPr="0068182D">
                <w:rPr>
                  <w:rFonts w:ascii="Times New Roman" w:hAnsi="Times New Roman" w:cs="Times New Roman"/>
                  <w:sz w:val="28"/>
                  <w:szCs w:val="28"/>
                </w:rPr>
                <w:t>Nunavut</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Territorial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1,300,000,000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16</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89" w:tooltip="Northwest Territories" w:history="1">
              <w:r w:rsidR="00606F59" w:rsidRPr="0068182D">
                <w:rPr>
                  <w:rFonts w:ascii="Times New Roman" w:hAnsi="Times New Roman" w:cs="Times New Roman"/>
                  <w:sz w:val="28"/>
                  <w:szCs w:val="28"/>
                </w:rPr>
                <w:t>Northwest Territories</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Territorial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1,290,000,000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17</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90" w:tooltip="Winnipeg" w:history="1">
              <w:r w:rsidR="00606F59" w:rsidRPr="0068182D">
                <w:rPr>
                  <w:rFonts w:ascii="Times New Roman" w:hAnsi="Times New Roman" w:cs="Times New Roman"/>
                  <w:sz w:val="28"/>
                  <w:szCs w:val="28"/>
                </w:rPr>
                <w:t>Winnipeg</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Municipal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1,204,369,000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1,800</w:t>
            </w: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18</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91" w:tooltip="Yukon" w:history="1">
              <w:r w:rsidR="00606F59" w:rsidRPr="0068182D">
                <w:rPr>
                  <w:rFonts w:ascii="Times New Roman" w:hAnsi="Times New Roman" w:cs="Times New Roman"/>
                  <w:sz w:val="28"/>
                  <w:szCs w:val="28"/>
                </w:rPr>
                <w:t>Yukon</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Territorial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1,075,402,000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2010-11</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19</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92" w:tooltip="London, Ontario" w:history="1">
              <w:r w:rsidR="00606F59" w:rsidRPr="0068182D">
                <w:rPr>
                  <w:rFonts w:ascii="Times New Roman" w:hAnsi="Times New Roman" w:cs="Times New Roman"/>
                  <w:sz w:val="28"/>
                  <w:szCs w:val="28"/>
                </w:rPr>
                <w:t>London</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Municipal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994,800,000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2,700</w:t>
            </w: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2013</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93" w:tooltip="Vancouver" w:history="1">
              <w:r w:rsidR="00606F59" w:rsidRPr="0068182D">
                <w:rPr>
                  <w:rFonts w:ascii="Times New Roman" w:hAnsi="Times New Roman" w:cs="Times New Roman"/>
                  <w:sz w:val="28"/>
                  <w:szCs w:val="28"/>
                </w:rPr>
                <w:t>Vancouver</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Municipal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961,000,000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1,600</w:t>
            </w: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w:t>
            </w:r>
          </w:p>
        </w:tc>
      </w:tr>
      <w:tr w:rsidR="00606F59" w:rsidRPr="0068182D" w:rsidTr="00606F59">
        <w:tc>
          <w:tcPr>
            <w:tcW w:w="1089"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21</w:t>
            </w:r>
          </w:p>
        </w:tc>
        <w:tc>
          <w:tcPr>
            <w:tcW w:w="2407" w:type="dxa"/>
            <w:shd w:val="clear" w:color="auto" w:fill="auto"/>
            <w:tcMar>
              <w:top w:w="48" w:type="dxa"/>
              <w:left w:w="96" w:type="dxa"/>
              <w:bottom w:w="48" w:type="dxa"/>
              <w:right w:w="96" w:type="dxa"/>
            </w:tcMar>
            <w:vAlign w:val="center"/>
            <w:hideMark/>
          </w:tcPr>
          <w:p w:rsidR="00606F59" w:rsidRPr="0068182D" w:rsidRDefault="00CD577A" w:rsidP="00606F59">
            <w:pPr>
              <w:spacing w:after="0" w:line="240" w:lineRule="auto"/>
              <w:rPr>
                <w:rFonts w:ascii="Times New Roman" w:hAnsi="Times New Roman" w:cs="Times New Roman"/>
                <w:sz w:val="28"/>
                <w:szCs w:val="28"/>
              </w:rPr>
            </w:pPr>
            <w:hyperlink r:id="rId294" w:tooltip="Mississauga" w:history="1">
              <w:r w:rsidR="00606F59" w:rsidRPr="0068182D">
                <w:rPr>
                  <w:rFonts w:ascii="Times New Roman" w:hAnsi="Times New Roman" w:cs="Times New Roman"/>
                  <w:sz w:val="28"/>
                  <w:szCs w:val="28"/>
                </w:rPr>
                <w:t>Mississauga</w:t>
              </w:r>
            </w:hyperlink>
          </w:p>
        </w:tc>
        <w:tc>
          <w:tcPr>
            <w:tcW w:w="1723"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Municipal</w:t>
            </w:r>
          </w:p>
        </w:tc>
        <w:tc>
          <w:tcPr>
            <w:tcW w:w="2018"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865,800,000</w:t>
            </w:r>
          </w:p>
        </w:tc>
        <w:tc>
          <w:tcPr>
            <w:tcW w:w="16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1,200</w:t>
            </w:r>
          </w:p>
        </w:tc>
        <w:tc>
          <w:tcPr>
            <w:tcW w:w="1020" w:type="dxa"/>
            <w:shd w:val="clear" w:color="auto" w:fill="auto"/>
            <w:tcMar>
              <w:top w:w="48" w:type="dxa"/>
              <w:left w:w="96" w:type="dxa"/>
              <w:bottom w:w="48" w:type="dxa"/>
              <w:right w:w="96" w:type="dxa"/>
            </w:tcMar>
            <w:vAlign w:val="center"/>
            <w:hideMark/>
          </w:tcPr>
          <w:p w:rsidR="00606F59" w:rsidRPr="0068182D" w:rsidRDefault="00606F59" w:rsidP="00606F59">
            <w:pPr>
              <w:spacing w:after="0" w:line="240" w:lineRule="auto"/>
              <w:rPr>
                <w:rFonts w:ascii="Times New Roman" w:hAnsi="Times New Roman" w:cs="Times New Roman"/>
                <w:sz w:val="28"/>
                <w:szCs w:val="28"/>
              </w:rPr>
            </w:pPr>
            <w:r w:rsidRPr="0068182D">
              <w:rPr>
                <w:rFonts w:ascii="Times New Roman" w:hAnsi="Times New Roman" w:cs="Times New Roman"/>
                <w:sz w:val="28"/>
                <w:szCs w:val="28"/>
              </w:rPr>
              <w:t>2010</w:t>
            </w:r>
          </w:p>
        </w:tc>
      </w:tr>
    </w:tbl>
    <w:p w:rsidR="00606F59" w:rsidRPr="0068182D" w:rsidRDefault="00606F59" w:rsidP="00606F59">
      <w:pPr>
        <w:pStyle w:val="a6"/>
        <w:spacing w:before="0" w:beforeAutospacing="0" w:after="0" w:afterAutospacing="0"/>
        <w:ind w:firstLine="567"/>
        <w:jc w:val="both"/>
        <w:rPr>
          <w:color w:val="000000"/>
          <w:sz w:val="28"/>
          <w:szCs w:val="28"/>
        </w:rPr>
      </w:pPr>
    </w:p>
    <w:p w:rsidR="00732CDE" w:rsidRPr="0068182D" w:rsidRDefault="00732CDE" w:rsidP="00606F59">
      <w:pPr>
        <w:spacing w:after="0" w:line="240" w:lineRule="auto"/>
        <w:ind w:firstLine="567"/>
        <w:jc w:val="both"/>
        <w:rPr>
          <w:rFonts w:ascii="Times New Roman" w:hAnsi="Times New Roman" w:cs="Times New Roman"/>
          <w:sz w:val="28"/>
          <w:szCs w:val="28"/>
          <w:lang w:val="en-US"/>
        </w:rPr>
      </w:pPr>
    </w:p>
    <w:p w:rsidR="00606F59" w:rsidRPr="0068182D" w:rsidRDefault="00606F59" w:rsidP="00606F59">
      <w:pPr>
        <w:spacing w:after="0" w:line="240" w:lineRule="auto"/>
        <w:ind w:firstLine="567"/>
        <w:jc w:val="both"/>
        <w:rPr>
          <w:rFonts w:ascii="Times New Roman" w:hAnsi="Times New Roman" w:cs="Times New Roman"/>
          <w:b/>
          <w:spacing w:val="3"/>
          <w:sz w:val="28"/>
          <w:szCs w:val="28"/>
          <w:lang w:val="en-US"/>
        </w:rPr>
      </w:pPr>
      <w:r w:rsidRPr="0068182D">
        <w:rPr>
          <w:rStyle w:val="hps"/>
          <w:rFonts w:ascii="Times New Roman" w:hAnsi="Times New Roman" w:cs="Times New Roman"/>
          <w:sz w:val="28"/>
          <w:szCs w:val="28"/>
          <w:lang w:val="en-US"/>
        </w:rPr>
        <w:t>6.</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Taxation in Canada</w:t>
      </w:r>
      <w:r w:rsidRPr="0068182D">
        <w:rPr>
          <w:rFonts w:ascii="Times New Roman" w:hAnsi="Times New Roman" w:cs="Times New Roman"/>
          <w:b/>
          <w:sz w:val="28"/>
          <w:szCs w:val="28"/>
          <w:lang w:val="en-US"/>
        </w:rPr>
        <w:t xml:space="preserve">: composition, </w:t>
      </w:r>
      <w:r w:rsidRPr="0068182D">
        <w:rPr>
          <w:rStyle w:val="hps"/>
          <w:rFonts w:ascii="Times New Roman" w:hAnsi="Times New Roman" w:cs="Times New Roman"/>
          <w:sz w:val="28"/>
          <w:szCs w:val="28"/>
          <w:lang w:val="en-US"/>
        </w:rPr>
        <w:t>specificity,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characteristics of the main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types of taxes</w:t>
      </w:r>
      <w:r w:rsidRPr="0068182D">
        <w:rPr>
          <w:rFonts w:ascii="Times New Roman" w:hAnsi="Times New Roman" w:cs="Times New Roman"/>
          <w:b/>
          <w:spacing w:val="3"/>
          <w:sz w:val="28"/>
          <w:szCs w:val="28"/>
          <w:lang w:val="en-US"/>
        </w:rPr>
        <w:t>.</w:t>
      </w:r>
    </w:p>
    <w:p w:rsidR="00606F59" w:rsidRPr="0068182D" w:rsidRDefault="00606F59" w:rsidP="00606F59">
      <w:pPr>
        <w:pStyle w:val="a6"/>
        <w:shd w:val="clear" w:color="auto" w:fill="FFFFFF"/>
        <w:spacing w:before="0" w:beforeAutospacing="0" w:after="0" w:afterAutospacing="0"/>
        <w:ind w:firstLine="567"/>
        <w:rPr>
          <w:bCs/>
          <w:sz w:val="28"/>
          <w:szCs w:val="28"/>
          <w:lang w:val="en-US"/>
        </w:rPr>
      </w:pPr>
      <w:r w:rsidRPr="0068182D">
        <w:rPr>
          <w:bCs/>
          <w:sz w:val="28"/>
          <w:szCs w:val="28"/>
          <w:lang w:val="en-US"/>
        </w:rPr>
        <w:t>In Canada, the federal, provincial and municipal governments collect money from individuals and companies to help pay for government programs and services, such as roads, public utilities, schools, health care, economic development and cultural activities.</w:t>
      </w:r>
    </w:p>
    <w:p w:rsidR="00606F59" w:rsidRPr="0068182D" w:rsidRDefault="00606F59" w:rsidP="00606F59">
      <w:pPr>
        <w:pStyle w:val="a6"/>
        <w:shd w:val="clear" w:color="auto" w:fill="FFFFFF"/>
        <w:spacing w:before="0" w:beforeAutospacing="0" w:after="0" w:afterAutospacing="0"/>
        <w:ind w:firstLine="567"/>
        <w:rPr>
          <w:sz w:val="28"/>
          <w:szCs w:val="28"/>
          <w:lang w:val="en-US"/>
        </w:rPr>
      </w:pPr>
      <w:r w:rsidRPr="0068182D">
        <w:rPr>
          <w:sz w:val="28"/>
          <w:szCs w:val="28"/>
          <w:lang w:val="en-US"/>
        </w:rPr>
        <w:t xml:space="preserve">Common types of taxes are </w:t>
      </w:r>
      <w:r w:rsidRPr="0068182D">
        <w:rPr>
          <w:b/>
          <w:sz w:val="28"/>
          <w:szCs w:val="28"/>
          <w:lang w:val="en-US"/>
        </w:rPr>
        <w:t>income taxes, sales taxes, property taxes, and business taxes</w:t>
      </w:r>
      <w:r w:rsidRPr="0068182D">
        <w:rPr>
          <w:sz w:val="28"/>
          <w:szCs w:val="28"/>
          <w:lang w:val="en-US"/>
        </w:rPr>
        <w:t xml:space="preserve"> (if you own a business).</w:t>
      </w:r>
    </w:p>
    <w:p w:rsidR="00606F59" w:rsidRPr="0068182D" w:rsidRDefault="00606F59" w:rsidP="00732CDE">
      <w:pPr>
        <w:pStyle w:val="2"/>
        <w:shd w:val="clear" w:color="auto" w:fill="FFFFFF"/>
        <w:spacing w:before="0" w:beforeAutospacing="0" w:after="0" w:afterAutospacing="0"/>
        <w:ind w:firstLine="567"/>
        <w:rPr>
          <w:bCs w:val="0"/>
          <w:sz w:val="28"/>
          <w:szCs w:val="28"/>
          <w:lang w:val="en-US"/>
        </w:rPr>
      </w:pPr>
      <w:r w:rsidRPr="0068182D">
        <w:rPr>
          <w:bCs w:val="0"/>
          <w:sz w:val="28"/>
          <w:szCs w:val="28"/>
          <w:lang w:val="en-US"/>
        </w:rPr>
        <w:t>Income Tax</w:t>
      </w:r>
    </w:p>
    <w:p w:rsidR="00606F59" w:rsidRPr="0068182D" w:rsidRDefault="00606F59" w:rsidP="00606F59">
      <w:pPr>
        <w:pStyle w:val="a6"/>
        <w:shd w:val="clear" w:color="auto" w:fill="FFFFFF"/>
        <w:spacing w:before="0" w:beforeAutospacing="0" w:after="0" w:afterAutospacing="0"/>
        <w:ind w:firstLine="567"/>
        <w:rPr>
          <w:sz w:val="28"/>
          <w:szCs w:val="28"/>
          <w:lang w:val="en-US"/>
        </w:rPr>
      </w:pPr>
      <w:r w:rsidRPr="0068182D">
        <w:rPr>
          <w:sz w:val="28"/>
          <w:szCs w:val="28"/>
          <w:lang w:val="en-US"/>
        </w:rPr>
        <w:t>The</w:t>
      </w:r>
      <w:r w:rsidRPr="0068182D">
        <w:rPr>
          <w:rStyle w:val="apple-converted-space"/>
          <w:sz w:val="28"/>
          <w:szCs w:val="28"/>
          <w:lang w:val="en-US"/>
        </w:rPr>
        <w:t> </w:t>
      </w:r>
      <w:hyperlink r:id="rId295" w:tgtFrame="_blank" w:history="1">
        <w:r w:rsidRPr="0068182D">
          <w:rPr>
            <w:rStyle w:val="a5"/>
            <w:rFonts w:eastAsiaTheme="majorEastAsia"/>
            <w:color w:val="auto"/>
            <w:sz w:val="28"/>
            <w:szCs w:val="28"/>
            <w:lang w:val="en-US"/>
          </w:rPr>
          <w:t>Canada Revenue Agency (CRA)</w:t>
        </w:r>
      </w:hyperlink>
      <w:r w:rsidRPr="0068182D">
        <w:rPr>
          <w:rStyle w:val="apple-converted-space"/>
          <w:sz w:val="28"/>
          <w:szCs w:val="28"/>
          <w:lang w:val="en-US"/>
        </w:rPr>
        <w:t> </w:t>
      </w:r>
      <w:r w:rsidRPr="0068182D">
        <w:rPr>
          <w:sz w:val="28"/>
          <w:szCs w:val="28"/>
          <w:lang w:val="en-US"/>
        </w:rPr>
        <w:t>collects</w:t>
      </w:r>
      <w:r w:rsidRPr="0068182D">
        <w:rPr>
          <w:rStyle w:val="apple-converted-space"/>
          <w:sz w:val="28"/>
          <w:szCs w:val="28"/>
          <w:lang w:val="en-US"/>
        </w:rPr>
        <w:t> </w:t>
      </w:r>
      <w:r w:rsidRPr="0068182D">
        <w:rPr>
          <w:rStyle w:val="a3"/>
          <w:b w:val="0"/>
          <w:sz w:val="28"/>
          <w:szCs w:val="28"/>
          <w:lang w:val="en-US"/>
        </w:rPr>
        <w:t>income taxes</w:t>
      </w:r>
      <w:r w:rsidRPr="0068182D">
        <w:rPr>
          <w:sz w:val="28"/>
          <w:szCs w:val="28"/>
          <w:lang w:val="en-US"/>
        </w:rPr>
        <w:t>.</w:t>
      </w:r>
    </w:p>
    <w:p w:rsidR="00606F59" w:rsidRPr="0068182D" w:rsidRDefault="00606F59" w:rsidP="00606F59">
      <w:pPr>
        <w:pStyle w:val="a6"/>
        <w:shd w:val="clear" w:color="auto" w:fill="FFFFFF"/>
        <w:spacing w:before="0" w:beforeAutospacing="0" w:after="0" w:afterAutospacing="0"/>
        <w:ind w:firstLine="567"/>
        <w:rPr>
          <w:sz w:val="28"/>
          <w:szCs w:val="28"/>
          <w:lang w:val="en-US"/>
        </w:rPr>
      </w:pPr>
      <w:r w:rsidRPr="0068182D">
        <w:rPr>
          <w:sz w:val="28"/>
          <w:szCs w:val="28"/>
          <w:lang w:val="en-US"/>
        </w:rPr>
        <w:t>Each year, people who are</w:t>
      </w:r>
      <w:r w:rsidRPr="0068182D">
        <w:rPr>
          <w:rStyle w:val="apple-converted-space"/>
          <w:sz w:val="28"/>
          <w:szCs w:val="28"/>
          <w:lang w:val="en-US"/>
        </w:rPr>
        <w:t> </w:t>
      </w:r>
      <w:hyperlink r:id="rId296" w:history="1">
        <w:r w:rsidRPr="0068182D">
          <w:rPr>
            <w:rStyle w:val="a5"/>
            <w:rFonts w:eastAsiaTheme="majorEastAsia"/>
            <w:color w:val="auto"/>
            <w:sz w:val="28"/>
            <w:szCs w:val="28"/>
            <w:lang w:val="en-US"/>
          </w:rPr>
          <w:t>Canadian residents for tax purposes</w:t>
        </w:r>
      </w:hyperlink>
      <w:r w:rsidRPr="0068182D">
        <w:rPr>
          <w:rStyle w:val="apple-converted-space"/>
          <w:sz w:val="28"/>
          <w:szCs w:val="28"/>
          <w:lang w:val="en-US"/>
        </w:rPr>
        <w:t> </w:t>
      </w:r>
      <w:r w:rsidRPr="0068182D">
        <w:rPr>
          <w:sz w:val="28"/>
          <w:szCs w:val="28"/>
          <w:lang w:val="en-US"/>
        </w:rPr>
        <w:t>complete an income tax return. On this return you list your taxable income, deductions and tax credits to calculate how much tax you owe.</w:t>
      </w:r>
    </w:p>
    <w:p w:rsidR="00606F59" w:rsidRPr="0068182D" w:rsidRDefault="00606F59" w:rsidP="00732CDE">
      <w:pPr>
        <w:pStyle w:val="a6"/>
        <w:shd w:val="clear" w:color="auto" w:fill="FFFFFF"/>
        <w:spacing w:before="0" w:beforeAutospacing="0" w:after="0" w:afterAutospacing="0"/>
        <w:ind w:firstLine="567"/>
        <w:rPr>
          <w:sz w:val="28"/>
          <w:szCs w:val="28"/>
          <w:lang w:val="en-US"/>
        </w:rPr>
      </w:pPr>
      <w:r w:rsidRPr="0068182D">
        <w:rPr>
          <w:sz w:val="28"/>
          <w:szCs w:val="28"/>
          <w:lang w:val="en-US"/>
        </w:rPr>
        <w:t>Find out more in</w:t>
      </w:r>
      <w:r w:rsidRPr="0068182D">
        <w:rPr>
          <w:rStyle w:val="apple-converted-space"/>
          <w:sz w:val="28"/>
          <w:szCs w:val="28"/>
          <w:lang w:val="en-US"/>
        </w:rPr>
        <w:t> </w:t>
      </w:r>
      <w:hyperlink r:id="rId297" w:history="1">
        <w:r w:rsidRPr="0068182D">
          <w:rPr>
            <w:rStyle w:val="a5"/>
            <w:rFonts w:eastAsiaTheme="majorEastAsia"/>
            <w:color w:val="auto"/>
            <w:sz w:val="28"/>
            <w:szCs w:val="28"/>
            <w:lang w:val="en-US"/>
          </w:rPr>
          <w:t>How much income tax do I have to pay?</w:t>
        </w:r>
      </w:hyperlink>
    </w:p>
    <w:p w:rsidR="00606F59" w:rsidRPr="0068182D" w:rsidRDefault="00606F59" w:rsidP="00732CDE">
      <w:pPr>
        <w:pStyle w:val="2"/>
        <w:shd w:val="clear" w:color="auto" w:fill="FFFFFF"/>
        <w:spacing w:before="0" w:beforeAutospacing="0" w:after="0" w:afterAutospacing="0"/>
        <w:ind w:firstLine="567"/>
        <w:rPr>
          <w:bCs w:val="0"/>
          <w:sz w:val="28"/>
          <w:szCs w:val="28"/>
          <w:lang w:val="en-US"/>
        </w:rPr>
      </w:pPr>
      <w:bookmarkStart w:id="0" w:name="sales"/>
      <w:bookmarkEnd w:id="0"/>
      <w:r w:rsidRPr="0068182D">
        <w:rPr>
          <w:bCs w:val="0"/>
          <w:sz w:val="28"/>
          <w:szCs w:val="28"/>
          <w:lang w:val="en-US"/>
        </w:rPr>
        <w:t>Sales Tax</w:t>
      </w:r>
    </w:p>
    <w:p w:rsidR="00606F59" w:rsidRPr="0068182D" w:rsidRDefault="00606F59" w:rsidP="00732CDE">
      <w:pPr>
        <w:pStyle w:val="a6"/>
        <w:shd w:val="clear" w:color="auto" w:fill="FFFFFF"/>
        <w:spacing w:before="0" w:beforeAutospacing="0" w:after="0" w:afterAutospacing="0"/>
        <w:ind w:firstLine="567"/>
        <w:rPr>
          <w:sz w:val="28"/>
          <w:szCs w:val="28"/>
          <w:lang w:val="en-US"/>
        </w:rPr>
      </w:pPr>
      <w:r w:rsidRPr="0068182D">
        <w:rPr>
          <w:sz w:val="28"/>
          <w:szCs w:val="28"/>
          <w:lang w:val="en-US"/>
        </w:rPr>
        <w:t>In Ontario, there is a</w:t>
      </w:r>
      <w:r w:rsidRPr="0068182D">
        <w:rPr>
          <w:rStyle w:val="apple-converted-space"/>
          <w:sz w:val="28"/>
          <w:szCs w:val="28"/>
          <w:lang w:val="en-US"/>
        </w:rPr>
        <w:t> </w:t>
      </w:r>
      <w:hyperlink r:id="rId298" w:tgtFrame="_blank" w:history="1">
        <w:r w:rsidRPr="0068182D">
          <w:rPr>
            <w:rStyle w:val="a5"/>
            <w:rFonts w:eastAsiaTheme="majorEastAsia"/>
            <w:color w:val="auto"/>
            <w:sz w:val="28"/>
            <w:szCs w:val="28"/>
            <w:lang w:val="en-US"/>
          </w:rPr>
          <w:t>Harmonized Sales Tax (HST)</w:t>
        </w:r>
      </w:hyperlink>
      <w:r w:rsidRPr="0068182D">
        <w:rPr>
          <w:rStyle w:val="apple-converted-space"/>
          <w:sz w:val="28"/>
          <w:szCs w:val="28"/>
          <w:lang w:val="en-US"/>
        </w:rPr>
        <w:t> </w:t>
      </w:r>
      <w:r w:rsidRPr="0068182D">
        <w:rPr>
          <w:sz w:val="28"/>
          <w:szCs w:val="28"/>
          <w:lang w:val="en-US"/>
        </w:rPr>
        <w:t>of</w:t>
      </w:r>
      <w:r w:rsidRPr="0068182D">
        <w:rPr>
          <w:rStyle w:val="apple-converted-space"/>
          <w:sz w:val="28"/>
          <w:szCs w:val="28"/>
          <w:lang w:val="en-US"/>
        </w:rPr>
        <w:t> </w:t>
      </w:r>
      <w:r w:rsidRPr="0068182D">
        <w:rPr>
          <w:rStyle w:val="a3"/>
          <w:b w:val="0"/>
          <w:sz w:val="28"/>
          <w:szCs w:val="28"/>
          <w:lang w:val="en-US"/>
        </w:rPr>
        <w:t>13%</w:t>
      </w:r>
      <w:r w:rsidRPr="0068182D">
        <w:rPr>
          <w:sz w:val="28"/>
          <w:szCs w:val="28"/>
          <w:lang w:val="en-US"/>
        </w:rPr>
        <w:t>. Usually, HST is added at the cash register so the amount on the price tag may not be the final price.</w:t>
      </w:r>
    </w:p>
    <w:p w:rsidR="00606F59" w:rsidRPr="0068182D" w:rsidRDefault="00606F59" w:rsidP="00606F59">
      <w:pPr>
        <w:pStyle w:val="a6"/>
        <w:shd w:val="clear" w:color="auto" w:fill="FFFFFF"/>
        <w:spacing w:before="0" w:beforeAutospacing="0" w:after="0" w:afterAutospacing="0"/>
        <w:ind w:firstLine="567"/>
        <w:rPr>
          <w:sz w:val="28"/>
          <w:szCs w:val="28"/>
          <w:lang w:val="en-US"/>
        </w:rPr>
      </w:pPr>
      <w:r w:rsidRPr="0068182D">
        <w:rPr>
          <w:sz w:val="28"/>
          <w:szCs w:val="28"/>
          <w:lang w:val="en-US"/>
        </w:rPr>
        <w:t>8% of the HST goes to the provincial government and 5% goes to the federal government.</w:t>
      </w:r>
    </w:p>
    <w:p w:rsidR="00606F59" w:rsidRPr="0068182D" w:rsidRDefault="00606F59" w:rsidP="00606F59">
      <w:pPr>
        <w:pStyle w:val="a6"/>
        <w:shd w:val="clear" w:color="auto" w:fill="FFFFFF"/>
        <w:spacing w:before="0" w:beforeAutospacing="0" w:after="0" w:afterAutospacing="0"/>
        <w:ind w:firstLine="567"/>
        <w:rPr>
          <w:sz w:val="28"/>
          <w:szCs w:val="28"/>
          <w:lang w:val="en-US"/>
        </w:rPr>
      </w:pPr>
      <w:r w:rsidRPr="0068182D">
        <w:rPr>
          <w:sz w:val="28"/>
          <w:szCs w:val="28"/>
          <w:lang w:val="en-US"/>
        </w:rPr>
        <w:t>You pay HST on many goods and services but there are a few</w:t>
      </w:r>
      <w:r w:rsidRPr="0068182D">
        <w:rPr>
          <w:rStyle w:val="apple-converted-space"/>
          <w:sz w:val="28"/>
          <w:szCs w:val="28"/>
          <w:lang w:val="en-US"/>
        </w:rPr>
        <w:t> </w:t>
      </w:r>
      <w:hyperlink r:id="rId299" w:tgtFrame="_blank" w:history="1">
        <w:r w:rsidRPr="0068182D">
          <w:rPr>
            <w:rStyle w:val="a5"/>
            <w:rFonts w:eastAsiaTheme="majorEastAsia"/>
            <w:color w:val="auto"/>
            <w:sz w:val="28"/>
            <w:szCs w:val="28"/>
            <w:lang w:val="en-US"/>
          </w:rPr>
          <w:t>exceptions</w:t>
        </w:r>
      </w:hyperlink>
      <w:r w:rsidRPr="0068182D">
        <w:rPr>
          <w:sz w:val="28"/>
          <w:szCs w:val="28"/>
          <w:lang w:val="en-US"/>
        </w:rPr>
        <w:t>, such as basic food products, child care services, and prescription drugs.</w:t>
      </w:r>
    </w:p>
    <w:p w:rsidR="00606F59" w:rsidRPr="0068182D" w:rsidRDefault="00606F59" w:rsidP="00606F59">
      <w:pPr>
        <w:pStyle w:val="a6"/>
        <w:shd w:val="clear" w:color="auto" w:fill="FFFFFF"/>
        <w:spacing w:before="0" w:beforeAutospacing="0" w:after="0" w:afterAutospacing="0"/>
        <w:ind w:firstLine="567"/>
        <w:rPr>
          <w:sz w:val="28"/>
          <w:szCs w:val="28"/>
          <w:lang w:val="en-US"/>
        </w:rPr>
      </w:pPr>
      <w:r w:rsidRPr="0068182D">
        <w:rPr>
          <w:sz w:val="28"/>
          <w:szCs w:val="28"/>
          <w:lang w:val="en-US"/>
        </w:rPr>
        <w:t>Individuals and families with low and modest incomes may be eligible for an HST credit. Find out more in</w:t>
      </w:r>
      <w:r w:rsidRPr="0068182D">
        <w:rPr>
          <w:rStyle w:val="apple-converted-space"/>
          <w:sz w:val="28"/>
          <w:szCs w:val="28"/>
          <w:lang w:val="en-US"/>
        </w:rPr>
        <w:t> </w:t>
      </w:r>
      <w:hyperlink r:id="rId300" w:history="1">
        <w:r w:rsidRPr="0068182D">
          <w:rPr>
            <w:rStyle w:val="a5"/>
            <w:rFonts w:eastAsiaTheme="majorEastAsia"/>
            <w:color w:val="auto"/>
            <w:sz w:val="28"/>
            <w:szCs w:val="28"/>
            <w:lang w:val="en-US"/>
          </w:rPr>
          <w:t>What is the HST credit? Am I eligible?</w:t>
        </w:r>
      </w:hyperlink>
    </w:p>
    <w:p w:rsidR="00606F59" w:rsidRPr="0068182D" w:rsidRDefault="00CD577A" w:rsidP="00606F59">
      <w:pPr>
        <w:shd w:val="clear" w:color="auto" w:fill="FFFFFF"/>
        <w:spacing w:after="0" w:line="240" w:lineRule="auto"/>
        <w:ind w:firstLine="567"/>
        <w:rPr>
          <w:rFonts w:ascii="Times New Roman" w:hAnsi="Times New Roman" w:cs="Times New Roman"/>
          <w:sz w:val="28"/>
          <w:szCs w:val="28"/>
          <w:lang w:val="en-US"/>
        </w:rPr>
      </w:pPr>
      <w:hyperlink r:id="rId301" w:tgtFrame="_blank" w:history="1">
        <w:r w:rsidR="00606F59" w:rsidRPr="0068182D">
          <w:rPr>
            <w:rFonts w:ascii="Times New Roman" w:hAnsi="Times New Roman" w:cs="Times New Roman"/>
            <w:b/>
            <w:sz w:val="28"/>
            <w:szCs w:val="28"/>
            <w:lang w:val="en-US"/>
          </w:rPr>
          <w:t>Canada Revenue Agency (CRA)</w:t>
        </w:r>
      </w:hyperlink>
      <w:r w:rsidR="00606F59" w:rsidRPr="0068182D">
        <w:rPr>
          <w:rFonts w:ascii="Times New Roman" w:hAnsi="Times New Roman" w:cs="Times New Roman"/>
          <w:sz w:val="28"/>
          <w:szCs w:val="28"/>
          <w:lang w:val="en-US"/>
        </w:rPr>
        <w:t> - The federal agency responsible for administering tax, benefits and related programs across the country. Their website provides detailed information about tax-related issues.</w:t>
      </w:r>
    </w:p>
    <w:p w:rsidR="00606F59" w:rsidRPr="0068182D" w:rsidRDefault="00606F59" w:rsidP="00606F59">
      <w:pPr>
        <w:pStyle w:val="a6"/>
        <w:shd w:val="clear" w:color="auto" w:fill="FFFFFF"/>
        <w:spacing w:before="0" w:beforeAutospacing="0" w:after="0" w:afterAutospacing="0"/>
        <w:rPr>
          <w:sz w:val="28"/>
          <w:szCs w:val="28"/>
          <w:lang w:val="en-US"/>
        </w:rPr>
      </w:pPr>
    </w:p>
    <w:p w:rsidR="00606F59" w:rsidRPr="0068182D" w:rsidRDefault="00606F59" w:rsidP="00FF2DA0">
      <w:pPr>
        <w:pStyle w:val="a6"/>
        <w:shd w:val="clear" w:color="auto" w:fill="FFFFFF"/>
        <w:spacing w:before="0" w:beforeAutospacing="0" w:after="0" w:afterAutospacing="0"/>
        <w:ind w:firstLine="709"/>
        <w:rPr>
          <w:sz w:val="28"/>
          <w:szCs w:val="28"/>
          <w:lang w:val="en-US"/>
        </w:rPr>
      </w:pPr>
      <w:r w:rsidRPr="0068182D">
        <w:rPr>
          <w:sz w:val="28"/>
          <w:szCs w:val="28"/>
          <w:lang w:val="en-US"/>
        </w:rPr>
        <w:t>Control questions:</w:t>
      </w:r>
    </w:p>
    <w:p w:rsidR="00606F59" w:rsidRPr="0068182D" w:rsidRDefault="00606F59" w:rsidP="00606F59">
      <w:pPr>
        <w:tabs>
          <w:tab w:val="left" w:pos="180"/>
        </w:tabs>
        <w:spacing w:after="0" w:line="240" w:lineRule="auto"/>
        <w:ind w:firstLine="567"/>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1.</w:t>
      </w:r>
      <w:r w:rsidRPr="0068182D">
        <w:rPr>
          <w:rFonts w:ascii="Times New Roman" w:hAnsi="Times New Roman" w:cs="Times New Roman"/>
          <w:sz w:val="28"/>
          <w:szCs w:val="28"/>
          <w:lang w:val="en-US"/>
        </w:rPr>
        <w:t xml:space="preserve"> Features</w:t>
      </w:r>
      <w:r w:rsidRPr="0068182D">
        <w:rPr>
          <w:rStyle w:val="hps"/>
          <w:rFonts w:ascii="Times New Roman" w:hAnsi="Times New Roman" w:cs="Times New Roman"/>
          <w:sz w:val="28"/>
          <w:szCs w:val="28"/>
          <w:lang w:val="en-US"/>
        </w:rPr>
        <w:t xml:space="preserve"> of Canadian economy</w:t>
      </w:r>
    </w:p>
    <w:p w:rsidR="00606F59" w:rsidRPr="0068182D" w:rsidRDefault="00606F59" w:rsidP="00606F59">
      <w:pPr>
        <w:tabs>
          <w:tab w:val="left" w:pos="180"/>
        </w:tabs>
        <w:spacing w:after="0" w:line="240" w:lineRule="auto"/>
        <w:ind w:firstLine="567"/>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2.</w:t>
      </w:r>
      <w:r w:rsidRPr="0068182D">
        <w:rPr>
          <w:rFonts w:ascii="Times New Roman" w:hAnsi="Times New Roman" w:cs="Times New Roman"/>
          <w:sz w:val="28"/>
          <w:szCs w:val="28"/>
          <w:lang w:val="en-US"/>
        </w:rPr>
        <w:t xml:space="preserve"> Infrastructure of</w:t>
      </w:r>
      <w:r w:rsidRPr="0068182D">
        <w:rPr>
          <w:rStyle w:val="hps"/>
          <w:rFonts w:ascii="Times New Roman" w:hAnsi="Times New Roman" w:cs="Times New Roman"/>
          <w:sz w:val="28"/>
          <w:szCs w:val="28"/>
          <w:lang w:val="en-US"/>
        </w:rPr>
        <w:t xml:space="preserve"> Canadian financial system</w:t>
      </w:r>
    </w:p>
    <w:p w:rsidR="00606F59" w:rsidRPr="0068182D" w:rsidRDefault="00606F59" w:rsidP="00606F59">
      <w:pPr>
        <w:shd w:val="clear" w:color="auto" w:fill="FFFFFF"/>
        <w:spacing w:after="0" w:line="240" w:lineRule="auto"/>
        <w:ind w:firstLine="567"/>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3.</w:t>
      </w:r>
      <w:r w:rsidRPr="0068182D">
        <w:rPr>
          <w:rFonts w:ascii="Times New Roman" w:hAnsi="Times New Roman" w:cs="Times New Roman"/>
          <w:sz w:val="28"/>
          <w:szCs w:val="28"/>
          <w:lang w:val="en-US"/>
        </w:rPr>
        <w:t xml:space="preserve"> I</w:t>
      </w:r>
      <w:r w:rsidRPr="0068182D">
        <w:rPr>
          <w:rStyle w:val="hps"/>
          <w:rFonts w:ascii="Times New Roman" w:hAnsi="Times New Roman" w:cs="Times New Roman"/>
          <w:sz w:val="28"/>
          <w:szCs w:val="28"/>
          <w:lang w:val="en-US"/>
        </w:rPr>
        <w:t>ntergovernmental</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transfers</w:t>
      </w:r>
      <w:r w:rsidRPr="0068182D">
        <w:rPr>
          <w:rFonts w:ascii="Times New Roman" w:hAnsi="Times New Roman" w:cs="Times New Roman"/>
          <w:sz w:val="28"/>
          <w:szCs w:val="28"/>
          <w:lang w:val="en-US"/>
        </w:rPr>
        <w:t xml:space="preserve"> in Canada</w:t>
      </w:r>
    </w:p>
    <w:p w:rsidR="00606F59" w:rsidRPr="0068182D" w:rsidRDefault="00606F59" w:rsidP="00606F59">
      <w:pPr>
        <w:spacing w:after="0" w:line="240" w:lineRule="auto"/>
        <w:ind w:firstLine="567"/>
        <w:jc w:val="both"/>
        <w:rPr>
          <w:rFonts w:ascii="Times New Roman" w:hAnsi="Times New Roman" w:cs="Times New Roman"/>
          <w:spacing w:val="3"/>
          <w:sz w:val="28"/>
          <w:szCs w:val="28"/>
          <w:lang w:val="en-US"/>
        </w:rPr>
      </w:pPr>
      <w:r w:rsidRPr="0068182D">
        <w:rPr>
          <w:rStyle w:val="hps"/>
          <w:rFonts w:ascii="Times New Roman" w:hAnsi="Times New Roman" w:cs="Times New Roman"/>
          <w:sz w:val="28"/>
          <w:szCs w:val="28"/>
          <w:lang w:val="en-US"/>
        </w:rPr>
        <w:t>4.</w:t>
      </w:r>
      <w:r w:rsidRPr="0068182D">
        <w:rPr>
          <w:rFonts w:ascii="Times New Roman" w:hAnsi="Times New Roman" w:cs="Times New Roman"/>
          <w:sz w:val="28"/>
          <w:szCs w:val="28"/>
          <w:lang w:val="en-US"/>
        </w:rPr>
        <w:t xml:space="preserve"> Main taxes </w:t>
      </w:r>
      <w:r w:rsidRPr="0068182D">
        <w:rPr>
          <w:rStyle w:val="hps"/>
          <w:rFonts w:ascii="Times New Roman" w:hAnsi="Times New Roman" w:cs="Times New Roman"/>
          <w:sz w:val="28"/>
          <w:szCs w:val="28"/>
          <w:lang w:val="en-US"/>
        </w:rPr>
        <w:t>in Canada</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67D5E" w:rsidRPr="0068182D" w:rsidRDefault="00467D5E" w:rsidP="00467D5E">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T</w:t>
      </w:r>
      <w:r w:rsidR="008E2EAF">
        <w:rPr>
          <w:rFonts w:ascii="Times New Roman" w:hAnsi="Times New Roman" w:cs="Times New Roman"/>
          <w:b/>
          <w:sz w:val="28"/>
          <w:szCs w:val="28"/>
          <w:lang w:val="en-US"/>
        </w:rPr>
        <w:t>heme</w:t>
      </w:r>
      <w:r w:rsidRPr="0068182D">
        <w:rPr>
          <w:rFonts w:ascii="Times New Roman" w:hAnsi="Times New Roman" w:cs="Times New Roman"/>
          <w:b/>
          <w:sz w:val="28"/>
          <w:szCs w:val="28"/>
          <w:lang w:val="en-US"/>
        </w:rPr>
        <w:t xml:space="preserve"> 9. Organization of the Japan financial system</w:t>
      </w:r>
    </w:p>
    <w:p w:rsidR="00467D5E" w:rsidRPr="0068182D" w:rsidRDefault="00467D5E" w:rsidP="00467D5E">
      <w:pPr>
        <w:spacing w:after="0" w:line="240" w:lineRule="auto"/>
        <w:ind w:firstLine="709"/>
        <w:jc w:val="both"/>
        <w:rPr>
          <w:rFonts w:ascii="Times New Roman" w:hAnsi="Times New Roman" w:cs="Times New Roman"/>
          <w:b/>
          <w:sz w:val="28"/>
          <w:szCs w:val="28"/>
          <w:lang w:val="en-US"/>
        </w:rPr>
      </w:pPr>
    </w:p>
    <w:p w:rsidR="00467D5E" w:rsidRPr="0068182D" w:rsidRDefault="00467D5E" w:rsidP="00467D5E">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1. Content and factors of the Japanese "economic miracle." </w:t>
      </w:r>
    </w:p>
    <w:p w:rsidR="00467D5E" w:rsidRPr="0068182D" w:rsidRDefault="00467D5E" w:rsidP="00467D5E">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2. The composition and characteristics of units of the financial system of Japan.                                  </w:t>
      </w:r>
    </w:p>
    <w:p w:rsidR="00467D5E" w:rsidRPr="0068182D" w:rsidRDefault="00467D5E" w:rsidP="00467D5E">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3. Budget System and the device in Japan. </w:t>
      </w:r>
    </w:p>
    <w:p w:rsidR="00467D5E" w:rsidRPr="0068182D" w:rsidRDefault="00467D5E" w:rsidP="00467D5E">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4. Revenues and expenditures of the central budget in Japan. </w:t>
      </w:r>
    </w:p>
    <w:p w:rsidR="00467D5E" w:rsidRPr="0068182D" w:rsidRDefault="00467D5E" w:rsidP="00467D5E">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5. Revenues and expenditures of local budgets. </w:t>
      </w:r>
    </w:p>
    <w:p w:rsidR="00467D5E" w:rsidRPr="0068182D" w:rsidRDefault="00467D5E" w:rsidP="00467D5E">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6. Objectives of the financial system at the present stage.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1. The monetary unit of the country is the yen, which shall issue the Bank of Japan. The central bank seeks to keep control of the yen by buying and selling currencies on the financial markets. They are also regulated interest rates and loan volumes. Japan has a highly developed system of private financing, which has at its core 13 banks (5 of which are among the 10 largest in the world) and a variety of specialized credit institutions. Government financial institutions give out loans mainly in sectors such as shipping, energy, coal mining and chemical industries.</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development of the Japanese economy in the last quarter of the twentieth century was characterized by intensive restructuring. The main directions of restructuring - is automation of production and resources, the development of new knowledge-intensive industries and production, training of qualified personnel, improvement of management and organizational structures. In Japan adopted a national program for the creation of the information society. An important role in this program is given the financial system. In economically developed countries traditionally are two main types of financial systems - segmented and versatility. In the universal financial system is not legally restricted to banks perform the operations of financial services that are not related to banking.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 classic example of such a system is considered to be a German. In segmented financial system, banks can not perform non-banking functions. An additional feature, though not absolute, is more rigid separation of activities and individual operations. The above division into universal and segmented financial systems in modern conditions is still not absolute. The most typical representatives of segmented systems are the US, UK and Japan. In 1868 (ie during the Meiji reforms aimed at modernizing the country), the Japanese government, following the example of the United States, has begun to create a system of state banks, has the rights issue of money.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first credit institution of this kind was the bank "First State" (later - "First Industrial"). Then, in 1874, established a system of postal savings institutions (played in the economy very important role), of which in 1880 "came out" savings banks. In 1877, private capital, created the first banking association, in 1879, appeared in Osaka clearing house for ease interbank payments, and in 1878 opened two stock exchanges.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However, in Japan, the business was mainly concentrated in the closed structure of the zaibatsu (financial-industrial groups). For this reason, direct funding (through the issuance of securities) in the country and has not been widely developed. Until recently in Japan dominated the indirect financing (through banks).</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1882 it was decided to keep only one emission center. Since then and until now its function performs the Bank of Japan. The remaining state-owned banks were converted into conventional (commercial) credit institutions, standing in a row with parallel arisen private banks (commercial and savings, which grew out of trading and moneylending firms). Such private entities were "legalized" the law on banks in 1890. All these banks are doing ordinary activities, involving free funds, loans and payments between companies.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However, to finance the modernization and industrialization of the country in full, due to its commercial nature and the relatively small amount at their disposal financial resources, these conventional banks were not able to. Solution of the problem was connected state created semi- / semi-credit institutions, such as the "Foreign Exchange Bank of Yokohama" (for foreign trade financing, and later - "Bank of Tokyo"), "Japanese Industrial Bank" (to finance long-term projects) etc .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1900 a law was passed on industrial cooperatives, which initiated the creation of specialized institutions to support small businesses, such as the Central Bank of the industrial cooperatives (later - "Central Bank of Agriculture and Forestry"). Its peak, this banking system reached in 1901, when there were 1,867 regular banks. Among other important innovations to be noted that in 1915, existed since time immemorial specifically Japanese cooperatives mujina that financed business, received the official status of the mutual fund companies small business. In 1917 he created the first structure of housing loans. Finally, after the First World War there was market-call loans (eligible for a loan under certain conditions, practiced for the settlement of short-term payments between banks).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During the crisis of 1927 began the process of ruin shallow banks. In 1927, a new law on banks, which was first stipulated mandatory minimum capital for banks. Thus, the law has prompted banks to merge and consolidation. As a result of these processes, by the end of the Second World War, there were a total of 64 normal and 4 savings credit institution. In the course of the war were made two important steps on the path of universalization and consolidation of the banking business - ordinary savings banks have the right, and interbank settlements steel made through the Bank of Japan.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2. After the end of World War II under conditions of extremely low and a large budget deficit in Japan began hyperinflation. Emergency measures were taken in the area of monetary, locked the population's savings and bank securities. In the area of lending was launched "course for the development of production," according to which the identified priority areas of lending, and loans to other sectors purposefully limited. In the postwar period, embarked on the creation of a few banks operating throughout the country, as well as the formation of local banks on the principle of "one prefecture - one bank." These two types of banks were to provide funding at the level of the whole country and regions.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To prevent unemployment, maintaining activities of small and medium enterprises have been established credit cooperatives and trust funds. As the revitalization of the national economy, and to boost exports of steel to create private financial institutions to provide loans for long term credit banks and specialized. Unlike some developed countries, such as France and Japan in the postwar period, the main financial levers remained in the hands of private banks. However, the degree of state control over their activities remained very high. In parallel with the private banks was recreated an extensive network of government institutions. For lending of foreign trade in 1950.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Export Bank was founded, the main function of which at this stage is lending exports of Japanese shipbuilding and engineering. Capital of the bank owned by the state, and the monitoring of its activities by the Ministry of Finance. In 1951 was established by Japan Development Bank, passing the funds and functions of the Bank financing reconstruction and matching funds that operated from 1949 to enroll in revenue from sales of goods received in assistance from the US.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Bank's activities are concentrated on the grace (for less than 1 year) lending industries, issuing loans that are not interested private banks. Features of development of the banking system in Japan in the postwar period - education financial-industrial groups. At the head of each of them is a major private commercial banks, and around it are grouped industrial companies. That banks bore the main burden of financing the rapid industrial development of Japan. Within groups formed stable relations based on relations of partners.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3. First Bank of the modern type have appeared in Japan after 1872 as a private "National Bank". As commercial banks, they had branches all over the country and had the right to issue banknotes. Then there were about 150 such banks. "National Bank" intensively produced non-convertible notes, and thereby contributed to the growth of inflation, inhibits the development of the productive forces. In these circumstances there is an urgent need to establish a central bank of Japan, which was founded in 1882 for a period of 30 years (later extended for another period of 30 years).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This bank was a monopoly right to issue banknotes and preexisting "National Bank" should stop issuing banknotes and gradually withdraw banknotes in circulation. Until April 1, 1998, the Bank of Japan has acted on the basis of the Law on the Bank of Japan in 1942, taking into account the amendments of 1947 and 1949.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1979 the law was somewhat modernized, it has been finished with appointments powers of the central bank, he received an indefinite status. Since April 1, 1998 entered a new law on the Bank of Japan. The authorized capital is 100 million yen and 55% owned by the state and 45% to private individuals, financial institutions, insurance companies and other private aktsioneram.12 Shareholders guaranteed dividend of 4%, which in the case of very high bank profits can be increased to 5%.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rest of the bank's profit goes to the state budget. The main objectives of the bank is to regulate: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circulation of money;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rate of the national currency - the yen, which is achieved by maintaining the optimum value in circulation of money and the yen on the international currency markets;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the credit system, maintaining its stability.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Since 1957, Japan has a system of compulsory redundancy, according to which the credit institutions are required to place in the Bank of Japan, a certain amount of reserve deposits. Maintaining liquidity in the domestic banking system is provided by refinancing from the Bank of Japan. Through the use of refinancing and regulation of interest rates the Bank of Japan controls the country's financial system. In addition to the Bank of Japan and government financial institutions in the banking system in Japan includes commercial banks, long-term credit banks, investment banks, trust banks and cooperative banks. Also, the Japanese financial system rank postal savings banks, credit cooperatives, insurance companies.</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p>
    <w:p w:rsidR="00467D5E" w:rsidRPr="0068182D" w:rsidRDefault="00467D5E" w:rsidP="00467D5E">
      <w:pPr>
        <w:spacing w:after="0" w:line="240" w:lineRule="auto"/>
        <w:ind w:firstLine="540"/>
        <w:jc w:val="center"/>
        <w:rPr>
          <w:b/>
          <w:sz w:val="28"/>
          <w:szCs w:val="28"/>
        </w:rPr>
      </w:pPr>
      <w:r w:rsidRPr="0068182D">
        <w:rPr>
          <w:rFonts w:ascii="Times New Roman" w:hAnsi="Times New Roman" w:cs="Times New Roman"/>
          <w:b/>
          <w:sz w:val="28"/>
          <w:szCs w:val="28"/>
        </w:rPr>
        <w:t>Japan's financial system</w:t>
      </w:r>
    </w:p>
    <w:tbl>
      <w:tblPr>
        <w:tblW w:w="8820" w:type="dxa"/>
        <w:tblInd w:w="392" w:type="dxa"/>
        <w:tblLayout w:type="fixed"/>
        <w:tblLook w:val="0000"/>
      </w:tblPr>
      <w:tblGrid>
        <w:gridCol w:w="2520"/>
        <w:gridCol w:w="3060"/>
        <w:gridCol w:w="3240"/>
      </w:tblGrid>
      <w:tr w:rsidR="00467D5E" w:rsidRPr="0068182D" w:rsidTr="00FF2DA0">
        <w:trPr>
          <w:trHeight w:val="675"/>
        </w:trPr>
        <w:tc>
          <w:tcPr>
            <w:tcW w:w="2520" w:type="dxa"/>
            <w:tcBorders>
              <w:top w:val="nil"/>
              <w:left w:val="nil"/>
              <w:bottom w:val="single" w:sz="8" w:space="0" w:color="000000"/>
              <w:right w:val="nil"/>
            </w:tcBorders>
            <w:vAlign w:val="center"/>
          </w:tcPr>
          <w:p w:rsidR="00467D5E" w:rsidRPr="0068182D" w:rsidRDefault="00467D5E" w:rsidP="00FF2DA0">
            <w:pPr>
              <w:spacing w:after="0" w:line="240" w:lineRule="auto"/>
              <w:ind w:left="252"/>
              <w:jc w:val="both"/>
              <w:rPr>
                <w:rFonts w:ascii="Times New Roman" w:hAnsi="Times New Roman" w:cs="Times New Roman"/>
                <w:sz w:val="28"/>
                <w:szCs w:val="28"/>
              </w:rPr>
            </w:pPr>
          </w:p>
        </w:tc>
        <w:tc>
          <w:tcPr>
            <w:tcW w:w="3060" w:type="dxa"/>
            <w:tcBorders>
              <w:top w:val="single" w:sz="8" w:space="0" w:color="auto"/>
              <w:left w:val="nil"/>
              <w:bottom w:val="single" w:sz="8" w:space="0" w:color="000000"/>
              <w:right w:val="nil"/>
            </w:tcBorders>
            <w:vAlign w:val="center"/>
          </w:tcPr>
          <w:p w:rsidR="00467D5E" w:rsidRPr="0068182D" w:rsidRDefault="00467D5E" w:rsidP="00FF2DA0">
            <w:pPr>
              <w:spacing w:after="0" w:line="240" w:lineRule="auto"/>
              <w:ind w:left="1080" w:hanging="468"/>
              <w:jc w:val="both"/>
              <w:rPr>
                <w:rFonts w:ascii="Times New Roman" w:hAnsi="Times New Roman" w:cs="Times New Roman"/>
                <w:sz w:val="28"/>
                <w:szCs w:val="28"/>
              </w:rPr>
            </w:pPr>
            <w:r w:rsidRPr="0068182D">
              <w:rPr>
                <w:rFonts w:ascii="Times New Roman" w:hAnsi="Times New Roman" w:cs="Times New Roman"/>
                <w:sz w:val="28"/>
                <w:szCs w:val="28"/>
              </w:rPr>
              <w:t>The Bank of Japan</w:t>
            </w:r>
          </w:p>
        </w:tc>
        <w:tc>
          <w:tcPr>
            <w:tcW w:w="3240" w:type="dxa"/>
            <w:tcBorders>
              <w:top w:val="nil"/>
              <w:left w:val="nil"/>
              <w:bottom w:val="single" w:sz="8" w:space="0" w:color="000000"/>
              <w:right w:val="nil"/>
            </w:tcBorders>
            <w:vAlign w:val="center"/>
          </w:tcPr>
          <w:p w:rsidR="00467D5E" w:rsidRPr="0068182D" w:rsidRDefault="00467D5E" w:rsidP="00FF2DA0">
            <w:pPr>
              <w:spacing w:after="0" w:line="240" w:lineRule="auto"/>
              <w:ind w:left="1080" w:firstLine="540"/>
              <w:jc w:val="both"/>
              <w:rPr>
                <w:rFonts w:ascii="Times New Roman" w:hAnsi="Times New Roman" w:cs="Times New Roman"/>
                <w:sz w:val="28"/>
                <w:szCs w:val="28"/>
              </w:rPr>
            </w:pPr>
          </w:p>
        </w:tc>
      </w:tr>
      <w:tr w:rsidR="00467D5E" w:rsidRPr="008E2EAF" w:rsidTr="00FF2DA0">
        <w:trPr>
          <w:trHeight w:val="1706"/>
        </w:trPr>
        <w:tc>
          <w:tcPr>
            <w:tcW w:w="2520" w:type="dxa"/>
            <w:tcBorders>
              <w:top w:val="single" w:sz="8" w:space="0" w:color="auto"/>
              <w:left w:val="single" w:sz="8" w:space="0" w:color="auto"/>
              <w:bottom w:val="single" w:sz="8" w:space="0" w:color="auto"/>
              <w:right w:val="single" w:sz="8" w:space="0" w:color="000000"/>
            </w:tcBorders>
            <w:vAlign w:val="center"/>
          </w:tcPr>
          <w:p w:rsidR="00467D5E" w:rsidRPr="0068182D" w:rsidRDefault="00467D5E" w:rsidP="00FF2DA0">
            <w:pPr>
              <w:spacing w:after="0" w:line="240" w:lineRule="auto"/>
              <w:ind w:left="72"/>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Commercial banks: city banks, regional banks, foreign credit institutions</w:t>
            </w:r>
          </w:p>
        </w:tc>
        <w:tc>
          <w:tcPr>
            <w:tcW w:w="3060" w:type="dxa"/>
            <w:tcBorders>
              <w:top w:val="single" w:sz="8" w:space="0" w:color="auto"/>
              <w:left w:val="nil"/>
              <w:bottom w:val="single" w:sz="8" w:space="0" w:color="auto"/>
              <w:right w:val="single" w:sz="8" w:space="0" w:color="000000"/>
            </w:tcBorders>
            <w:vAlign w:val="center"/>
          </w:tcPr>
          <w:p w:rsidR="00467D5E" w:rsidRPr="0068182D" w:rsidRDefault="00467D5E" w:rsidP="00FF2DA0">
            <w:pPr>
              <w:spacing w:after="0" w:line="240" w:lineRule="auto"/>
              <w:ind w:left="252"/>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Special credit institutions: banks long-term lending, investment houses, trust banks</w:t>
            </w:r>
          </w:p>
        </w:tc>
        <w:tc>
          <w:tcPr>
            <w:tcW w:w="3240" w:type="dxa"/>
            <w:tcBorders>
              <w:top w:val="single" w:sz="8" w:space="0" w:color="auto"/>
              <w:left w:val="nil"/>
              <w:bottom w:val="single" w:sz="8" w:space="0" w:color="auto"/>
              <w:right w:val="single" w:sz="8" w:space="0" w:color="000000"/>
            </w:tcBorders>
            <w:vAlign w:val="center"/>
          </w:tcPr>
          <w:p w:rsidR="00467D5E" w:rsidRPr="0068182D" w:rsidRDefault="00467D5E" w:rsidP="00FF2DA0">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Other credit institutions: postal savings banks, credit cooperatives, insurance companies</w:t>
            </w:r>
          </w:p>
        </w:tc>
      </w:tr>
    </w:tbl>
    <w:p w:rsidR="00467D5E" w:rsidRPr="0068182D" w:rsidRDefault="00467D5E" w:rsidP="00467D5E">
      <w:pPr>
        <w:spacing w:after="0" w:line="240" w:lineRule="auto"/>
        <w:ind w:firstLine="709"/>
        <w:jc w:val="both"/>
        <w:rPr>
          <w:rFonts w:ascii="Times New Roman" w:hAnsi="Times New Roman" w:cs="Times New Roman"/>
          <w:sz w:val="28"/>
          <w:szCs w:val="28"/>
          <w:lang w:val="en-US"/>
        </w:rPr>
      </w:pP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Commercial banks can be classified as follows: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City banks.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11 private banks play a leading role among the credit institutions in the country. Their share in the total volume of borrowed funds is increasing. They also play a leading role in the short- and medium-term credit, especially large industrial concerns. The share of urban banks account for a significant portion of overseas operations of Japanese banks. On operations of urban banks abroad leads "Bank of Tokyo." He actually performs public functions, maintaining correspondent relationships with banks in 2000 worldwide. In accordance with Japanese law assigned to it by conducting foreign exchange operations. To perform these functions, the bank has a large number of foreign affiliates. This type of bank applies the notorious "Dai people bank."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Regional banks.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64 regional banks operate on a scale of one of the prefectures are smaller than urban banks, the volume of transactions, but a wide network of small-sized branches. In its activities are guided by regional banks lending to small and medium enterprises, some of them accept savings deposits. In its structure, they are creditors. Regional banks play an important role in the financing of local government. Several of these banks has significant in terms of assets, although inferior assets urban banks.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Foreign banks.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the local market among foreign banks dominate the US and UK banks. Also present are German, French and other foreign banks. Japanese banks began to experience competition from foreign banks only in the 60s. Until they develop their activities only in two areas: the provision of loans in foreign currency lending and consumer credit institutions "Sarakina".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4. Other financial companies involved bank features include: long-term credit banks, trust banks. The segmented nature of the Japanese financial system clearly seen on the example of long-term credit banks, investment houses and trust banks. Long-term credit banks. Were established in 1952 by a special law. This Industrial Bank of Japan, Long Term Credit Bank and Nippon Credit Bank. The first two of them will focus on lending to large enterprises. Third - the mortgage bank specializing in operations with small and medium enterprises. These three banks are very important for Japan, represent approximately 10% of total banking system loans and finance at least 20% of loans to equipment</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They long before city banks gained significant international influence. Long-term credit banks are allowed to conduct long-term operation of passive and active character. Passive operations are to provide loans to large enterprises, and active operations - in shaping the resources primarily through the issuance of long-term debt. Long-term credit banks are limited in the implementation of the purchase and sale of securities in the secondary markets. This function is performed by investment houses who themselves also emit securities. Trust banks. Trust Bank emerged in the 50s of the twentieth century mainly by "budding" from commercial banks. Originally created for the management of property, but after received the banking functions. Primarily provides long-term financing of businesses and individuals, as well as engaged in financial management. As resources trust banks have term deposits and loans. Five of them are among the fifty largest banks in the world.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5. Other credit institutions are classified as follows.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Postal savings banks.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Public postal savings banks provide accumulation of small savings. They provide private clients - individuals, as compared to other Japanese banks, over a wide range of services, loans on more favorable terms. Savings banks also allow you to place on more favorable terms small deposits. Because of this, state postal savings banks, administratively subordinated to postal administrations have been able to amass large financial resources.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Credit cooperatives.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Private loan associations, credit cooperatives, urgent, perpetual savings banks and credit unions workers. All of this - bank institutions that issue loans to small local businesses as well as workers and employees, accept deposits of its members and not members of savings deposits. An integral part of the financial and credit system of Japan - 47 insurance companies that accumulate huge financial resources they use mainly for investments in securities, as well as 220 stock companies. The presence of companies specializing exclusively in securities transactions - one of the main features of the banking system in Japan, which was built on the American model.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Total in Japan are about 6,200 commercial financial institutions. It's a bit compared to the other major developed countries, given the large number of people living on the islands. However, shortages of credit institutions still do not feel because of their uniform distribution. The state attaches great attention to keeping afloat credit institutions during the period of the test problems. But this careful attitude at the same time accompanied by the extreme difficulty of obtaining a state license to carry out banking operations right.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Control questions: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1. Stages of development and features of Japan's financial system.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2. Bodies of financial management and control of Japan. </w:t>
      </w:r>
    </w:p>
    <w:p w:rsidR="00467D5E" w:rsidRPr="0068182D" w:rsidRDefault="00467D5E" w:rsidP="00467D5E">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3. Formation of the budget and the budget process.              </w:t>
      </w:r>
    </w:p>
    <w:p w:rsidR="00732CDE" w:rsidRPr="0068182D" w:rsidRDefault="00732CDE" w:rsidP="00C40532">
      <w:pPr>
        <w:spacing w:after="0" w:line="240" w:lineRule="auto"/>
        <w:ind w:firstLine="709"/>
        <w:jc w:val="both"/>
        <w:rPr>
          <w:rFonts w:ascii="Times New Roman" w:hAnsi="Times New Roman" w:cs="Times New Roman"/>
          <w:sz w:val="28"/>
          <w:szCs w:val="28"/>
          <w:lang w:val="en-US"/>
        </w:rPr>
      </w:pPr>
    </w:p>
    <w:p w:rsidR="00732CDE" w:rsidRPr="0068182D" w:rsidRDefault="00732CDE"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hd w:val="clear" w:color="auto" w:fill="FFFFFF"/>
        <w:tabs>
          <w:tab w:val="left" w:pos="567"/>
        </w:tabs>
        <w:spacing w:after="0" w:line="240" w:lineRule="auto"/>
        <w:ind w:firstLine="567"/>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Theme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10.</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organization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People's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Republic</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China</w:t>
      </w:r>
    </w:p>
    <w:p w:rsidR="00BE3110" w:rsidRPr="0068182D" w:rsidRDefault="00BE3110" w:rsidP="00C40532">
      <w:pPr>
        <w:shd w:val="clear" w:color="auto" w:fill="FFFFFF"/>
        <w:tabs>
          <w:tab w:val="left" w:pos="567"/>
        </w:tabs>
        <w:spacing w:after="0" w:line="240" w:lineRule="auto"/>
        <w:ind w:firstLine="567"/>
        <w:jc w:val="both"/>
        <w:rPr>
          <w:rStyle w:val="hps"/>
          <w:rFonts w:ascii="Times New Roman" w:hAnsi="Times New Roman" w:cs="Times New Roman"/>
          <w:b/>
          <w:sz w:val="28"/>
          <w:szCs w:val="28"/>
          <w:lang w:val="en-US"/>
        </w:rPr>
      </w:pPr>
    </w:p>
    <w:p w:rsidR="004379E3" w:rsidRPr="0068182D" w:rsidRDefault="004379E3" w:rsidP="00C40532">
      <w:pPr>
        <w:shd w:val="clear" w:color="auto" w:fill="FFFFFF"/>
        <w:tabs>
          <w:tab w:val="left" w:pos="567"/>
        </w:tabs>
        <w:spacing w:after="0" w:line="240" w:lineRule="auto"/>
        <w:ind w:firstLine="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1.</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content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factors of development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Chinese economy</w:t>
      </w:r>
      <w:r w:rsidRPr="0068182D">
        <w:rPr>
          <w:rFonts w:ascii="Times New Roman" w:hAnsi="Times New Roman" w:cs="Times New Roman"/>
          <w:b/>
          <w:sz w:val="28"/>
          <w:szCs w:val="28"/>
          <w:lang w:val="en-US"/>
        </w:rPr>
        <w:t>.</w:t>
      </w:r>
    </w:p>
    <w:p w:rsidR="004379E3" w:rsidRPr="0068182D" w:rsidRDefault="004379E3" w:rsidP="00C40532">
      <w:pPr>
        <w:shd w:val="clear" w:color="auto" w:fill="FFFFFF"/>
        <w:tabs>
          <w:tab w:val="left" w:pos="567"/>
        </w:tabs>
        <w:spacing w:after="0" w:line="240" w:lineRule="auto"/>
        <w:ind w:firstLine="567"/>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2.</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composition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units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People's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Republic</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China</w:t>
      </w:r>
    </w:p>
    <w:p w:rsidR="004379E3" w:rsidRPr="0068182D" w:rsidRDefault="004379E3" w:rsidP="00C40532">
      <w:pPr>
        <w:spacing w:after="0" w:line="240" w:lineRule="auto"/>
        <w:ind w:firstLine="567"/>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3.</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budget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budgetary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China.</w:t>
      </w:r>
    </w:p>
    <w:p w:rsidR="004379E3" w:rsidRPr="0068182D" w:rsidRDefault="004379E3" w:rsidP="00C40532">
      <w:pPr>
        <w:tabs>
          <w:tab w:val="left" w:pos="180"/>
        </w:tabs>
        <w:spacing w:after="0" w:line="240" w:lineRule="auto"/>
        <w:ind w:firstLine="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4.</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Revenues and expenditures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central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China</w:t>
      </w:r>
      <w:r w:rsidRPr="0068182D">
        <w:rPr>
          <w:rFonts w:ascii="Times New Roman" w:hAnsi="Times New Roman" w:cs="Times New Roman"/>
          <w:b/>
          <w:sz w:val="28"/>
          <w:szCs w:val="28"/>
          <w:lang w:val="en-US"/>
        </w:rPr>
        <w:t>.</w:t>
      </w:r>
    </w:p>
    <w:p w:rsidR="004379E3" w:rsidRPr="0068182D" w:rsidRDefault="004379E3" w:rsidP="00FF2DA0">
      <w:pPr>
        <w:spacing w:after="0" w:line="240" w:lineRule="auto"/>
        <w:ind w:left="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Revenues and expenditures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local budgets</w:t>
      </w:r>
      <w:r w:rsidRPr="0068182D">
        <w:rPr>
          <w:rFonts w:ascii="Times New Roman" w:hAnsi="Times New Roman" w:cs="Times New Roman"/>
          <w:b/>
          <w:sz w:val="28"/>
          <w:szCs w:val="28"/>
          <w:lang w:val="en-US"/>
        </w:rPr>
        <w:t>.</w:t>
      </w:r>
      <w:r w:rsidRPr="0068182D">
        <w:rPr>
          <w:rFonts w:ascii="Times New Roman" w:hAnsi="Times New Roman" w:cs="Times New Roman"/>
          <w:b/>
          <w:sz w:val="28"/>
          <w:szCs w:val="28"/>
          <w:lang w:val="en-US"/>
        </w:rPr>
        <w:br/>
      </w:r>
      <w:r w:rsidRPr="0068182D">
        <w:rPr>
          <w:rStyle w:val="hps"/>
          <w:rFonts w:ascii="Times New Roman" w:hAnsi="Times New Roman" w:cs="Times New Roman"/>
          <w:b/>
          <w:sz w:val="28"/>
          <w:szCs w:val="28"/>
          <w:lang w:val="en-US"/>
        </w:rPr>
        <w:t>6.</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Specifics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tax collection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the country.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State taxes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Taxes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local authorities.</w:t>
      </w:r>
    </w:p>
    <w:p w:rsidR="004379E3" w:rsidRPr="0068182D" w:rsidRDefault="004379E3" w:rsidP="00C40532">
      <w:pPr>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tabs>
          <w:tab w:val="left" w:pos="567"/>
        </w:tabs>
        <w:spacing w:after="0" w:line="240" w:lineRule="auto"/>
        <w:ind w:firstLine="567"/>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1.</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content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factors of development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Chinese economy</w:t>
      </w:r>
      <w:r w:rsidRPr="0068182D">
        <w:rPr>
          <w:rFonts w:ascii="Times New Roman" w:hAnsi="Times New Roman" w:cs="Times New Roman"/>
          <w:b/>
          <w:sz w:val="28"/>
          <w:szCs w:val="28"/>
          <w:lang w:val="en-US"/>
        </w:rPr>
        <w:t>.</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ongoing development of China's financial system will play a critical role in the country’s effort to narrow social disparities and pursue balanced growth. Reforming the financial system would increase the rate of GDP growth and help spread China’s new wealth more evenly. If the reforms directed additional funds to private companies — China's new growth engine — the economy would generate significantly higher returns for the same level of investment and GDP would rise. Such a shift will stimulate mass job creation in the strongest areas of China's economy and increase tax revenues to finance social programs.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After more than a quarter century of reform and opening to the outside world, by 2005 China’s economy had become the second largest in the world after the United States when measured on a</w:t>
      </w:r>
      <w:r w:rsidRPr="0068182D">
        <w:rPr>
          <w:rStyle w:val="apple-converted-space"/>
          <w:sz w:val="28"/>
          <w:szCs w:val="28"/>
          <w:lang w:val="en-US"/>
        </w:rPr>
        <w:t> </w:t>
      </w:r>
      <w:hyperlink r:id="rId302" w:tooltip="Purchasing power parity" w:history="1">
        <w:r w:rsidRPr="0068182D">
          <w:rPr>
            <w:rStyle w:val="a5"/>
            <w:color w:val="auto"/>
            <w:sz w:val="28"/>
            <w:szCs w:val="28"/>
            <w:u w:val="none"/>
            <w:lang w:val="en-US"/>
          </w:rPr>
          <w:t>purchasing power parity</w:t>
        </w:r>
      </w:hyperlink>
      <w:r w:rsidRPr="0068182D">
        <w:rPr>
          <w:rStyle w:val="apple-converted-space"/>
          <w:sz w:val="28"/>
          <w:szCs w:val="28"/>
          <w:lang w:val="en-US"/>
        </w:rPr>
        <w:t> </w:t>
      </w:r>
      <w:r w:rsidRPr="0068182D">
        <w:rPr>
          <w:sz w:val="28"/>
          <w:szCs w:val="28"/>
          <w:lang w:val="en-US"/>
        </w:rPr>
        <w:t>(PPP) basis. The government has a goal of quadrupling the</w:t>
      </w:r>
      <w:r w:rsidRPr="0068182D">
        <w:rPr>
          <w:rStyle w:val="apple-converted-space"/>
          <w:sz w:val="28"/>
          <w:szCs w:val="28"/>
          <w:lang w:val="en-US"/>
        </w:rPr>
        <w:t> </w:t>
      </w:r>
      <w:hyperlink r:id="rId303" w:tooltip="Gross domestic product" w:history="1">
        <w:r w:rsidRPr="0068182D">
          <w:rPr>
            <w:rStyle w:val="a5"/>
            <w:color w:val="auto"/>
            <w:sz w:val="28"/>
            <w:szCs w:val="28"/>
            <w:u w:val="none"/>
            <w:lang w:val="en-US"/>
          </w:rPr>
          <w:t>gross domestic product</w:t>
        </w:r>
      </w:hyperlink>
      <w:r w:rsidRPr="0068182D">
        <w:rPr>
          <w:rStyle w:val="apple-converted-space"/>
          <w:sz w:val="28"/>
          <w:szCs w:val="28"/>
          <w:lang w:val="en-US"/>
        </w:rPr>
        <w:t> </w:t>
      </w:r>
      <w:r w:rsidRPr="0068182D">
        <w:rPr>
          <w:sz w:val="28"/>
          <w:szCs w:val="28"/>
          <w:lang w:val="en-US"/>
        </w:rPr>
        <w:t>(GDP) by 2020 and more than doubling the</w:t>
      </w:r>
      <w:r w:rsidRPr="0068182D">
        <w:rPr>
          <w:rStyle w:val="apple-converted-space"/>
          <w:sz w:val="28"/>
          <w:szCs w:val="28"/>
          <w:lang w:val="en-US"/>
        </w:rPr>
        <w:t> </w:t>
      </w:r>
      <w:hyperlink r:id="rId304" w:tooltip="Gross domestic product" w:history="1">
        <w:r w:rsidRPr="0068182D">
          <w:rPr>
            <w:rStyle w:val="a5"/>
            <w:color w:val="auto"/>
            <w:sz w:val="28"/>
            <w:szCs w:val="28"/>
            <w:u w:val="none"/>
            <w:lang w:val="en-US"/>
          </w:rPr>
          <w:t>per capita GDP</w:t>
        </w:r>
      </w:hyperlink>
      <w:r w:rsidRPr="0068182D">
        <w:rPr>
          <w:sz w:val="28"/>
          <w:szCs w:val="28"/>
          <w:lang w:val="en-US"/>
        </w:rPr>
        <w:t>. Central planning has been curtailed, and widespread market mechanisms and a reduced government role have prevailed since 1978. The government fosters a dual economic structure that has evolved from a socialist, centrally</w:t>
      </w:r>
      <w:r w:rsidRPr="0068182D">
        <w:rPr>
          <w:rStyle w:val="apple-converted-space"/>
          <w:sz w:val="28"/>
          <w:szCs w:val="28"/>
          <w:lang w:val="en-US"/>
        </w:rPr>
        <w:t> </w:t>
      </w:r>
      <w:hyperlink r:id="rId305" w:tooltip="Planned economy" w:history="1">
        <w:r w:rsidRPr="0068182D">
          <w:rPr>
            <w:rStyle w:val="a5"/>
            <w:color w:val="auto"/>
            <w:sz w:val="28"/>
            <w:szCs w:val="28"/>
            <w:u w:val="none"/>
            <w:lang w:val="en-US"/>
          </w:rPr>
          <w:t>planned economy</w:t>
        </w:r>
      </w:hyperlink>
      <w:r w:rsidRPr="0068182D">
        <w:rPr>
          <w:rStyle w:val="apple-converted-space"/>
          <w:sz w:val="28"/>
          <w:szCs w:val="28"/>
          <w:lang w:val="en-US"/>
        </w:rPr>
        <w:t> </w:t>
      </w:r>
      <w:r w:rsidRPr="0068182D">
        <w:rPr>
          <w:sz w:val="28"/>
          <w:szCs w:val="28"/>
          <w:lang w:val="en-US"/>
        </w:rPr>
        <w:t>to a socialist market economic system, or a "</w:t>
      </w:r>
      <w:hyperlink r:id="rId306" w:tooltip="Socialist market economy" w:history="1">
        <w:r w:rsidRPr="0068182D">
          <w:rPr>
            <w:rStyle w:val="a5"/>
            <w:color w:val="auto"/>
            <w:sz w:val="28"/>
            <w:szCs w:val="28"/>
            <w:u w:val="none"/>
            <w:lang w:val="en-US"/>
          </w:rPr>
          <w:t>socialist market economy with Chinese characteristics</w:t>
        </w:r>
      </w:hyperlink>
      <w:r w:rsidRPr="0068182D">
        <w:rPr>
          <w:sz w:val="28"/>
          <w:szCs w:val="28"/>
          <w:lang w:val="en-US"/>
        </w:rPr>
        <w:t>". Industry is marked by increasing</w:t>
      </w:r>
      <w:r w:rsidRPr="0068182D">
        <w:rPr>
          <w:rStyle w:val="apple-converted-space"/>
          <w:sz w:val="28"/>
          <w:szCs w:val="28"/>
          <w:lang w:val="en-US"/>
        </w:rPr>
        <w:t> </w:t>
      </w:r>
      <w:hyperlink r:id="rId307" w:tooltip="Technological escalation" w:history="1">
        <w:r w:rsidRPr="0068182D">
          <w:rPr>
            <w:rStyle w:val="a5"/>
            <w:color w:val="auto"/>
            <w:sz w:val="28"/>
            <w:szCs w:val="28"/>
            <w:u w:val="none"/>
            <w:lang w:val="en-US"/>
          </w:rPr>
          <w:t>technological advancements</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308" w:tooltip="Productivity" w:history="1">
        <w:r w:rsidRPr="0068182D">
          <w:rPr>
            <w:rStyle w:val="a5"/>
            <w:color w:val="auto"/>
            <w:sz w:val="28"/>
            <w:szCs w:val="28"/>
            <w:u w:val="none"/>
            <w:lang w:val="en-US"/>
          </w:rPr>
          <w:t>productivity</w:t>
        </w:r>
      </w:hyperlink>
      <w:r w:rsidRPr="0068182D">
        <w:rPr>
          <w:sz w:val="28"/>
          <w:szCs w:val="28"/>
          <w:lang w:val="en-US"/>
        </w:rPr>
        <w:t>. People’s communes were eliminated by 1984 — after more than 25 years — and the system of township-collective-household production was introduced to the agricultural sector. Private ownership of production assets is legal, although some nonagricultural and industrial facilities are still state-owned and centrally planned. Restraints on</w:t>
      </w:r>
      <w:r w:rsidRPr="0068182D">
        <w:rPr>
          <w:rStyle w:val="apple-converted-space"/>
          <w:sz w:val="28"/>
          <w:szCs w:val="28"/>
          <w:lang w:val="en-US"/>
        </w:rPr>
        <w:t> </w:t>
      </w:r>
      <w:hyperlink r:id="rId309" w:tooltip="International trade" w:history="1">
        <w:r w:rsidRPr="0068182D">
          <w:rPr>
            <w:rStyle w:val="a5"/>
            <w:color w:val="auto"/>
            <w:sz w:val="28"/>
            <w:szCs w:val="28"/>
            <w:u w:val="none"/>
            <w:lang w:val="en-US"/>
          </w:rPr>
          <w:t>international trade</w:t>
        </w:r>
      </w:hyperlink>
      <w:r w:rsidRPr="0068182D">
        <w:rPr>
          <w:rStyle w:val="apple-converted-space"/>
          <w:sz w:val="28"/>
          <w:szCs w:val="28"/>
          <w:lang w:val="en-US"/>
        </w:rPr>
        <w:t> </w:t>
      </w:r>
      <w:r w:rsidRPr="0068182D">
        <w:rPr>
          <w:sz w:val="28"/>
          <w:szCs w:val="28"/>
          <w:lang w:val="en-US"/>
        </w:rPr>
        <w:t>were relaxed when China acceded to the</w:t>
      </w:r>
      <w:r w:rsidRPr="0068182D">
        <w:rPr>
          <w:rStyle w:val="apple-converted-space"/>
          <w:sz w:val="28"/>
          <w:szCs w:val="28"/>
          <w:lang w:val="en-US"/>
        </w:rPr>
        <w:t> </w:t>
      </w:r>
      <w:hyperlink r:id="rId310" w:tooltip="World Trade Organization" w:history="1">
        <w:r w:rsidRPr="0068182D">
          <w:rPr>
            <w:rStyle w:val="a5"/>
            <w:color w:val="auto"/>
            <w:sz w:val="28"/>
            <w:szCs w:val="28"/>
            <w:u w:val="none"/>
            <w:lang w:val="en-US"/>
          </w:rPr>
          <w:t>World Trade Organization</w:t>
        </w:r>
      </w:hyperlink>
      <w:r w:rsidRPr="0068182D">
        <w:rPr>
          <w:rStyle w:val="apple-converted-space"/>
          <w:sz w:val="28"/>
          <w:szCs w:val="28"/>
          <w:lang w:val="en-US"/>
        </w:rPr>
        <w:t> </w:t>
      </w:r>
      <w:r w:rsidRPr="0068182D">
        <w:rPr>
          <w:sz w:val="28"/>
          <w:szCs w:val="28"/>
          <w:lang w:val="en-US"/>
        </w:rPr>
        <w:t>in 2001. Joint ventures are encouraged, especially in the coastal</w:t>
      </w:r>
      <w:r w:rsidRPr="0068182D">
        <w:rPr>
          <w:rStyle w:val="apple-converted-space"/>
          <w:sz w:val="28"/>
          <w:szCs w:val="28"/>
          <w:lang w:val="en-US"/>
        </w:rPr>
        <w:t> </w:t>
      </w:r>
      <w:hyperlink r:id="rId311" w:tooltip="Special Economic Zone" w:history="1">
        <w:r w:rsidRPr="0068182D">
          <w:rPr>
            <w:rStyle w:val="a5"/>
            <w:color w:val="auto"/>
            <w:sz w:val="28"/>
            <w:szCs w:val="28"/>
            <w:u w:val="none"/>
            <w:lang w:val="en-US"/>
          </w:rPr>
          <w:t>Special Economic Zones</w:t>
        </w:r>
      </w:hyperlink>
      <w:r w:rsidRPr="0068182D">
        <w:rPr>
          <w:rStyle w:val="apple-converted-space"/>
          <w:sz w:val="28"/>
          <w:szCs w:val="28"/>
          <w:lang w:val="en-US"/>
        </w:rPr>
        <w:t> </w:t>
      </w:r>
      <w:r w:rsidRPr="0068182D">
        <w:rPr>
          <w:sz w:val="28"/>
          <w:szCs w:val="28"/>
          <w:lang w:val="en-US"/>
        </w:rPr>
        <w:t>and open coastal cities. A sign of the affluence that the reformed economy has brought to China might be seen in the number of its millionaires (measured in U.S. dollars): a reported 236,000 millionaires in 2004, an increase of 12 percent over two years earlier.</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Chinese officials cite two major trends that have an effect on China’s market economy and future development: world multipolarization and regional integration. In relation to these trends, they foresee the roles of China and the</w:t>
      </w:r>
      <w:r w:rsidRPr="0068182D">
        <w:rPr>
          <w:rStyle w:val="apple-converted-space"/>
          <w:sz w:val="28"/>
          <w:szCs w:val="28"/>
          <w:lang w:val="en-US"/>
        </w:rPr>
        <w:t> </w:t>
      </w:r>
      <w:hyperlink r:id="rId312" w:tooltip="United States" w:history="1">
        <w:r w:rsidRPr="0068182D">
          <w:rPr>
            <w:rStyle w:val="a5"/>
            <w:color w:val="auto"/>
            <w:sz w:val="28"/>
            <w:szCs w:val="28"/>
            <w:u w:val="none"/>
            <w:lang w:val="en-US"/>
          </w:rPr>
          <w:t>United States</w:t>
        </w:r>
      </w:hyperlink>
      <w:r w:rsidRPr="0068182D">
        <w:rPr>
          <w:rStyle w:val="apple-converted-space"/>
          <w:sz w:val="28"/>
          <w:szCs w:val="28"/>
          <w:lang w:val="en-US"/>
        </w:rPr>
        <w:t> </w:t>
      </w:r>
      <w:r w:rsidRPr="0068182D">
        <w:rPr>
          <w:sz w:val="28"/>
          <w:szCs w:val="28"/>
          <w:lang w:val="en-US"/>
        </w:rPr>
        <w:t>in world affairs and with one another as very important. Despite successes, China’s leaders face a variety of challenges to the nation’s future</w:t>
      </w:r>
      <w:r w:rsidRPr="0068182D">
        <w:rPr>
          <w:rStyle w:val="apple-converted-space"/>
          <w:sz w:val="28"/>
          <w:szCs w:val="28"/>
          <w:lang w:val="en-US"/>
        </w:rPr>
        <w:t> </w:t>
      </w:r>
      <w:hyperlink r:id="rId313" w:tooltip="Economic development" w:history="1">
        <w:r w:rsidRPr="0068182D">
          <w:rPr>
            <w:rStyle w:val="a5"/>
            <w:color w:val="auto"/>
            <w:sz w:val="28"/>
            <w:szCs w:val="28"/>
            <w:u w:val="none"/>
            <w:lang w:val="en-US"/>
          </w:rPr>
          <w:t>economic development</w:t>
        </w:r>
      </w:hyperlink>
      <w:r w:rsidRPr="0068182D">
        <w:rPr>
          <w:sz w:val="28"/>
          <w:szCs w:val="28"/>
          <w:lang w:val="en-US"/>
        </w:rPr>
        <w:t>. They have to maintain a high growth rate, deal effectively with the rural workforce, improve the financial system, continue to reform the state-owned enterprises, foster the productive private sector, establish a</w:t>
      </w:r>
      <w:r w:rsidRPr="0068182D">
        <w:rPr>
          <w:rStyle w:val="apple-converted-space"/>
          <w:sz w:val="28"/>
          <w:szCs w:val="28"/>
          <w:lang w:val="en-US"/>
        </w:rPr>
        <w:t> </w:t>
      </w:r>
      <w:hyperlink r:id="rId314" w:tooltip="Social security" w:history="1">
        <w:r w:rsidRPr="0068182D">
          <w:rPr>
            <w:rStyle w:val="a5"/>
            <w:color w:val="auto"/>
            <w:sz w:val="28"/>
            <w:szCs w:val="28"/>
            <w:u w:val="none"/>
            <w:lang w:val="en-US"/>
          </w:rPr>
          <w:t>social security</w:t>
        </w:r>
      </w:hyperlink>
      <w:r w:rsidRPr="0068182D">
        <w:rPr>
          <w:rStyle w:val="apple-converted-space"/>
          <w:sz w:val="28"/>
          <w:szCs w:val="28"/>
          <w:lang w:val="en-US"/>
        </w:rPr>
        <w:t> </w:t>
      </w:r>
      <w:r w:rsidRPr="0068182D">
        <w:rPr>
          <w:sz w:val="28"/>
          <w:szCs w:val="28"/>
          <w:lang w:val="en-US"/>
        </w:rPr>
        <w:t>system, improve scientific and educational development, promote better international cooperation, and some believe, change the role of the government in the economic system. Despite constraints the</w:t>
      </w:r>
      <w:r w:rsidRPr="0068182D">
        <w:rPr>
          <w:rStyle w:val="apple-converted-space"/>
          <w:sz w:val="28"/>
          <w:szCs w:val="28"/>
          <w:lang w:val="en-US"/>
        </w:rPr>
        <w:t> </w:t>
      </w:r>
      <w:hyperlink r:id="rId315" w:tooltip="Globalization" w:history="1">
        <w:r w:rsidRPr="0068182D">
          <w:rPr>
            <w:rStyle w:val="a5"/>
            <w:color w:val="auto"/>
            <w:sz w:val="28"/>
            <w:szCs w:val="28"/>
            <w:u w:val="none"/>
            <w:lang w:val="en-US"/>
          </w:rPr>
          <w:t>international market</w:t>
        </w:r>
      </w:hyperlink>
      <w:r w:rsidRPr="0068182D">
        <w:rPr>
          <w:rStyle w:val="apple-converted-space"/>
          <w:sz w:val="28"/>
          <w:szCs w:val="28"/>
          <w:lang w:val="en-US"/>
        </w:rPr>
        <w:t> </w:t>
      </w:r>
      <w:r w:rsidRPr="0068182D">
        <w:rPr>
          <w:sz w:val="28"/>
          <w:szCs w:val="28"/>
          <w:lang w:val="en-US"/>
        </w:rPr>
        <w:t>has placed on China, it nevertheless became the world’s third largest trading nation in 2004 after only the United States and</w:t>
      </w:r>
      <w:r w:rsidRPr="0068182D">
        <w:rPr>
          <w:rStyle w:val="apple-converted-space"/>
          <w:sz w:val="28"/>
          <w:szCs w:val="28"/>
          <w:lang w:val="en-US"/>
        </w:rPr>
        <w:t> </w:t>
      </w:r>
      <w:hyperlink r:id="rId316" w:tooltip="Germany" w:history="1">
        <w:r w:rsidRPr="0068182D">
          <w:rPr>
            <w:rStyle w:val="a5"/>
            <w:color w:val="auto"/>
            <w:sz w:val="28"/>
            <w:szCs w:val="28"/>
            <w:u w:val="none"/>
            <w:lang w:val="en-US"/>
          </w:rPr>
          <w:t>Germany</w:t>
        </w:r>
      </w:hyperlink>
      <w:r w:rsidRPr="0068182D">
        <w:rPr>
          <w:sz w:val="28"/>
          <w:szCs w:val="28"/>
          <w:lang w:val="en-US"/>
        </w:rPr>
        <w:t>.</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Fifth Plenum of the Sixteenth CPC Central Committee took place in October 2005. The Fifth Plenum approved the new</w:t>
      </w:r>
      <w:r w:rsidRPr="0068182D">
        <w:rPr>
          <w:rStyle w:val="apple-converted-space"/>
          <w:sz w:val="28"/>
          <w:szCs w:val="28"/>
          <w:lang w:val="en-US"/>
        </w:rPr>
        <w:t> </w:t>
      </w:r>
      <w:hyperlink r:id="rId317" w:tooltip="Eleventh Five-Year Plan (People's Republic of China)" w:history="1">
        <w:r w:rsidRPr="0068182D">
          <w:rPr>
            <w:rStyle w:val="a5"/>
            <w:color w:val="auto"/>
            <w:sz w:val="28"/>
            <w:szCs w:val="28"/>
            <w:u w:val="none"/>
            <w:lang w:val="en-US"/>
          </w:rPr>
          <w:t>Eleventh Five-Year Plan</w:t>
        </w:r>
      </w:hyperlink>
      <w:r w:rsidRPr="0068182D">
        <w:rPr>
          <w:rStyle w:val="apple-converted-space"/>
          <w:sz w:val="28"/>
          <w:szCs w:val="28"/>
          <w:lang w:val="en-US"/>
        </w:rPr>
        <w:t> </w:t>
      </w:r>
      <w:r w:rsidRPr="0068182D">
        <w:rPr>
          <w:sz w:val="28"/>
          <w:szCs w:val="28"/>
          <w:lang w:val="en-US"/>
        </w:rPr>
        <w:t>(2006–10), which emphasizes a shift from extensive to intensive growth in order to meet demands for improved economic returns; the conservation of resources to include a 20% reduction in</w:t>
      </w:r>
      <w:r w:rsidRPr="0068182D">
        <w:rPr>
          <w:rStyle w:val="apple-converted-space"/>
          <w:sz w:val="28"/>
          <w:szCs w:val="28"/>
          <w:lang w:val="en-US"/>
        </w:rPr>
        <w:t> </w:t>
      </w:r>
      <w:hyperlink r:id="rId318" w:tooltip="World energy resources and consumption" w:history="1">
        <w:r w:rsidRPr="0068182D">
          <w:rPr>
            <w:rStyle w:val="a5"/>
            <w:color w:val="auto"/>
            <w:sz w:val="28"/>
            <w:szCs w:val="28"/>
            <w:u w:val="none"/>
            <w:lang w:val="en-US"/>
          </w:rPr>
          <w:t>energy consumption</w:t>
        </w:r>
      </w:hyperlink>
      <w:r w:rsidRPr="0068182D">
        <w:rPr>
          <w:rStyle w:val="apple-converted-space"/>
          <w:sz w:val="28"/>
          <w:szCs w:val="28"/>
          <w:lang w:val="en-US"/>
        </w:rPr>
        <w:t> </w:t>
      </w:r>
      <w:r w:rsidRPr="0068182D">
        <w:rPr>
          <w:sz w:val="28"/>
          <w:szCs w:val="28"/>
          <w:lang w:val="en-US"/>
        </w:rPr>
        <w:t>by 2010; and an effort to raise</w:t>
      </w:r>
      <w:r w:rsidRPr="0068182D">
        <w:rPr>
          <w:rStyle w:val="apple-converted-space"/>
          <w:sz w:val="28"/>
          <w:szCs w:val="28"/>
          <w:lang w:val="en-US"/>
        </w:rPr>
        <w:t> </w:t>
      </w:r>
      <w:hyperlink r:id="rId319" w:tooltip="Profit (accounting)" w:history="1">
        <w:r w:rsidRPr="0068182D">
          <w:rPr>
            <w:rStyle w:val="a5"/>
            <w:color w:val="auto"/>
            <w:sz w:val="28"/>
            <w:szCs w:val="28"/>
            <w:u w:val="none"/>
            <w:lang w:val="en-US"/>
          </w:rPr>
          <w:t>profitability</w:t>
        </w:r>
      </w:hyperlink>
      <w:r w:rsidRPr="0068182D">
        <w:rPr>
          <w:sz w:val="28"/>
          <w:szCs w:val="28"/>
          <w:lang w:val="en-US"/>
        </w:rPr>
        <w:t>. Better coordination of urban and rural development and of development between nearby provincial regions also is emphasized in the new plan.</w:t>
      </w:r>
    </w:p>
    <w:p w:rsidR="004379E3" w:rsidRPr="0068182D" w:rsidRDefault="004379E3" w:rsidP="00C40532">
      <w:pPr>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tabs>
          <w:tab w:val="left" w:pos="567"/>
        </w:tabs>
        <w:spacing w:after="0" w:line="240" w:lineRule="auto"/>
        <w:ind w:firstLine="567"/>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2.</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composition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units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the People's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Republic</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China</w:t>
      </w:r>
    </w:p>
    <w:p w:rsidR="004379E3" w:rsidRPr="0068182D" w:rsidRDefault="004379E3" w:rsidP="00C40532">
      <w:pPr>
        <w:spacing w:after="0" w:line="240" w:lineRule="auto"/>
        <w:ind w:firstLine="567"/>
        <w:jc w:val="both"/>
        <w:rPr>
          <w:rFonts w:ascii="Times New Roman" w:hAnsi="Times New Roman" w:cs="Times New Roman"/>
          <w:sz w:val="28"/>
          <w:szCs w:val="28"/>
          <w:lang w:val="en-US"/>
        </w:rPr>
      </w:pP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bCs/>
          <w:sz w:val="28"/>
          <w:szCs w:val="28"/>
          <w:lang w:val="en-US"/>
        </w:rPr>
        <w:t>China's financial system</w:t>
      </w:r>
      <w:r w:rsidRPr="0068182D">
        <w:rPr>
          <w:rStyle w:val="apple-converted-space"/>
          <w:sz w:val="28"/>
          <w:szCs w:val="28"/>
          <w:lang w:val="en-US"/>
        </w:rPr>
        <w:t> </w:t>
      </w:r>
      <w:r w:rsidRPr="0068182D">
        <w:rPr>
          <w:sz w:val="28"/>
          <w:szCs w:val="28"/>
          <w:lang w:val="en-US"/>
        </w:rPr>
        <w:t>is highly regulated</w:t>
      </w:r>
      <w:r w:rsidRPr="0068182D">
        <w:rPr>
          <w:rStyle w:val="apple-converted-space"/>
          <w:sz w:val="28"/>
          <w:szCs w:val="28"/>
          <w:lang w:val="en-US"/>
        </w:rPr>
        <w:t> </w:t>
      </w:r>
      <w:r w:rsidRPr="0068182D">
        <w:rPr>
          <w:sz w:val="28"/>
          <w:szCs w:val="28"/>
          <w:lang w:val="en-US"/>
        </w:rPr>
        <w:t>and has recently begun to expand rapidly as</w:t>
      </w:r>
      <w:r w:rsidRPr="0068182D">
        <w:rPr>
          <w:rStyle w:val="apple-converted-space"/>
          <w:sz w:val="28"/>
          <w:szCs w:val="28"/>
          <w:lang w:val="en-US"/>
        </w:rPr>
        <w:t> </w:t>
      </w:r>
      <w:hyperlink r:id="rId320" w:tooltip="Monetary policy" w:history="1">
        <w:r w:rsidRPr="0068182D">
          <w:rPr>
            <w:rStyle w:val="a5"/>
            <w:color w:val="auto"/>
            <w:sz w:val="28"/>
            <w:szCs w:val="28"/>
            <w:u w:val="none"/>
            <w:lang w:val="en-US"/>
          </w:rPr>
          <w:t>monetary policy</w:t>
        </w:r>
      </w:hyperlink>
      <w:r w:rsidRPr="0068182D">
        <w:rPr>
          <w:rStyle w:val="apple-converted-space"/>
          <w:sz w:val="28"/>
          <w:szCs w:val="28"/>
          <w:lang w:val="en-US"/>
        </w:rPr>
        <w:t> </w:t>
      </w:r>
      <w:r w:rsidRPr="0068182D">
        <w:rPr>
          <w:sz w:val="28"/>
          <w:szCs w:val="28"/>
          <w:lang w:val="en-US"/>
        </w:rPr>
        <w:t>becomes integral to its overall</w:t>
      </w:r>
      <w:r w:rsidRPr="0068182D">
        <w:rPr>
          <w:rStyle w:val="apple-converted-space"/>
          <w:sz w:val="28"/>
          <w:szCs w:val="28"/>
          <w:lang w:val="en-US"/>
        </w:rPr>
        <w:t> </w:t>
      </w:r>
      <w:hyperlink r:id="rId321" w:tooltip="Economic policy" w:history="1">
        <w:r w:rsidRPr="0068182D">
          <w:rPr>
            <w:rStyle w:val="a5"/>
            <w:color w:val="auto"/>
            <w:sz w:val="28"/>
            <w:szCs w:val="28"/>
            <w:u w:val="none"/>
            <w:lang w:val="en-US"/>
          </w:rPr>
          <w:t>economic policy</w:t>
        </w:r>
      </w:hyperlink>
      <w:r w:rsidRPr="0068182D">
        <w:rPr>
          <w:sz w:val="28"/>
          <w:szCs w:val="28"/>
          <w:lang w:val="en-US"/>
        </w:rPr>
        <w:t>. As a result, banks are becoming more important to China's economy by providing increasingly more</w:t>
      </w:r>
      <w:r w:rsidRPr="0068182D">
        <w:rPr>
          <w:rStyle w:val="apple-converted-space"/>
          <w:sz w:val="28"/>
          <w:szCs w:val="28"/>
          <w:lang w:val="en-US"/>
        </w:rPr>
        <w:t> </w:t>
      </w:r>
      <w:hyperlink r:id="rId322" w:tooltip="Finance" w:history="1">
        <w:r w:rsidRPr="0068182D">
          <w:rPr>
            <w:rStyle w:val="a5"/>
            <w:color w:val="auto"/>
            <w:sz w:val="28"/>
            <w:szCs w:val="28"/>
            <w:u w:val="none"/>
            <w:lang w:val="en-US"/>
          </w:rPr>
          <w:t>finance</w:t>
        </w:r>
      </w:hyperlink>
      <w:r w:rsidRPr="0068182D">
        <w:rPr>
          <w:rStyle w:val="apple-converted-space"/>
          <w:sz w:val="28"/>
          <w:szCs w:val="28"/>
          <w:lang w:val="en-US"/>
        </w:rPr>
        <w:t> </w:t>
      </w:r>
      <w:r w:rsidRPr="0068182D">
        <w:rPr>
          <w:sz w:val="28"/>
          <w:szCs w:val="28"/>
          <w:lang w:val="en-US"/>
        </w:rPr>
        <w:t>to</w:t>
      </w:r>
      <w:r w:rsidRPr="0068182D">
        <w:rPr>
          <w:rStyle w:val="apple-converted-space"/>
          <w:sz w:val="28"/>
          <w:szCs w:val="28"/>
          <w:lang w:val="en-US"/>
        </w:rPr>
        <w:t> </w:t>
      </w:r>
      <w:hyperlink r:id="rId323" w:tooltip="Business" w:history="1">
        <w:r w:rsidRPr="0068182D">
          <w:rPr>
            <w:rStyle w:val="a5"/>
            <w:color w:val="auto"/>
            <w:sz w:val="28"/>
            <w:szCs w:val="28"/>
            <w:u w:val="none"/>
            <w:lang w:val="en-US"/>
          </w:rPr>
          <w:t>enterprises</w:t>
        </w:r>
      </w:hyperlink>
      <w:r w:rsidRPr="0068182D">
        <w:rPr>
          <w:rStyle w:val="apple-converted-space"/>
          <w:sz w:val="28"/>
          <w:szCs w:val="28"/>
          <w:lang w:val="en-US"/>
        </w:rPr>
        <w:t> </w:t>
      </w:r>
      <w:r w:rsidRPr="0068182D">
        <w:rPr>
          <w:sz w:val="28"/>
          <w:szCs w:val="28"/>
          <w:lang w:val="en-US"/>
        </w:rPr>
        <w:t>for</w:t>
      </w:r>
      <w:r w:rsidRPr="0068182D">
        <w:rPr>
          <w:rStyle w:val="apple-converted-space"/>
          <w:sz w:val="28"/>
          <w:szCs w:val="28"/>
          <w:lang w:val="en-US"/>
        </w:rPr>
        <w:t> </w:t>
      </w:r>
      <w:hyperlink r:id="rId324" w:tooltip="Investment" w:history="1">
        <w:r w:rsidRPr="0068182D">
          <w:rPr>
            <w:rStyle w:val="a5"/>
            <w:color w:val="auto"/>
            <w:sz w:val="28"/>
            <w:szCs w:val="28"/>
            <w:u w:val="none"/>
            <w:lang w:val="en-US"/>
          </w:rPr>
          <w:t>investment</w:t>
        </w:r>
      </w:hyperlink>
      <w:r w:rsidRPr="0068182D">
        <w:rPr>
          <w:sz w:val="28"/>
          <w:szCs w:val="28"/>
          <w:lang w:val="en-US"/>
        </w:rPr>
        <w:t>, seeking</w:t>
      </w:r>
      <w:r w:rsidRPr="0068182D">
        <w:rPr>
          <w:rStyle w:val="apple-converted-space"/>
          <w:sz w:val="28"/>
          <w:szCs w:val="28"/>
          <w:lang w:val="en-US"/>
        </w:rPr>
        <w:t> </w:t>
      </w:r>
      <w:hyperlink r:id="rId325" w:tooltip="Deposit account" w:history="1">
        <w:r w:rsidRPr="0068182D">
          <w:rPr>
            <w:rStyle w:val="a5"/>
            <w:color w:val="auto"/>
            <w:sz w:val="28"/>
            <w:szCs w:val="28"/>
            <w:u w:val="none"/>
            <w:lang w:val="en-US"/>
          </w:rPr>
          <w:t>deposits</w:t>
        </w:r>
      </w:hyperlink>
      <w:r w:rsidRPr="0068182D">
        <w:rPr>
          <w:rStyle w:val="apple-converted-space"/>
          <w:sz w:val="28"/>
          <w:szCs w:val="28"/>
          <w:lang w:val="en-US"/>
        </w:rPr>
        <w:t> </w:t>
      </w:r>
      <w:r w:rsidRPr="0068182D">
        <w:rPr>
          <w:sz w:val="28"/>
          <w:szCs w:val="28"/>
          <w:lang w:val="en-US"/>
        </w:rPr>
        <w:t>from the public to mop up excess</w:t>
      </w:r>
      <w:r w:rsidRPr="0068182D">
        <w:rPr>
          <w:rStyle w:val="apple-converted-space"/>
          <w:sz w:val="28"/>
          <w:szCs w:val="28"/>
          <w:lang w:val="en-US"/>
        </w:rPr>
        <w:t> </w:t>
      </w:r>
      <w:hyperlink r:id="rId326" w:tooltip="Market liquidity" w:history="1">
        <w:r w:rsidRPr="0068182D">
          <w:rPr>
            <w:rStyle w:val="a5"/>
            <w:color w:val="auto"/>
            <w:sz w:val="28"/>
            <w:szCs w:val="28"/>
            <w:u w:val="none"/>
            <w:lang w:val="en-US"/>
          </w:rPr>
          <w:t>liquidity</w:t>
        </w:r>
      </w:hyperlink>
      <w:r w:rsidRPr="0068182D">
        <w:rPr>
          <w:sz w:val="28"/>
          <w:szCs w:val="28"/>
          <w:lang w:val="en-US"/>
        </w:rPr>
        <w:t>, and</w:t>
      </w:r>
      <w:r w:rsidRPr="0068182D">
        <w:rPr>
          <w:rStyle w:val="apple-converted-space"/>
          <w:sz w:val="28"/>
          <w:szCs w:val="28"/>
          <w:lang w:val="en-US"/>
        </w:rPr>
        <w:t> </w:t>
      </w:r>
      <w:hyperlink r:id="rId327" w:tooltip="Credit (finance)" w:history="1">
        <w:r w:rsidRPr="0068182D">
          <w:rPr>
            <w:rStyle w:val="a5"/>
            <w:color w:val="auto"/>
            <w:sz w:val="28"/>
            <w:szCs w:val="28"/>
            <w:u w:val="none"/>
            <w:lang w:val="en-US"/>
          </w:rPr>
          <w:t>lending</w:t>
        </w:r>
      </w:hyperlink>
      <w:r w:rsidRPr="0068182D">
        <w:rPr>
          <w:rStyle w:val="apple-converted-space"/>
          <w:sz w:val="28"/>
          <w:szCs w:val="28"/>
          <w:lang w:val="en-US"/>
        </w:rPr>
        <w:t> </w:t>
      </w:r>
      <w:hyperlink r:id="rId328" w:tooltip="Money" w:history="1">
        <w:r w:rsidRPr="0068182D">
          <w:rPr>
            <w:rStyle w:val="a5"/>
            <w:color w:val="auto"/>
            <w:sz w:val="28"/>
            <w:szCs w:val="28"/>
            <w:u w:val="none"/>
            <w:lang w:val="en-US"/>
          </w:rPr>
          <w:t>money</w:t>
        </w:r>
      </w:hyperlink>
      <w:r w:rsidRPr="0068182D">
        <w:rPr>
          <w:rStyle w:val="apple-converted-space"/>
          <w:sz w:val="28"/>
          <w:szCs w:val="28"/>
          <w:lang w:val="en-US"/>
        </w:rPr>
        <w:t> </w:t>
      </w:r>
      <w:r w:rsidRPr="0068182D">
        <w:rPr>
          <w:sz w:val="28"/>
          <w:szCs w:val="28"/>
          <w:lang w:val="en-US"/>
        </w:rPr>
        <w:t>to the government.</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As part of</w:t>
      </w:r>
      <w:r w:rsidRPr="0068182D">
        <w:rPr>
          <w:rStyle w:val="apple-converted-space"/>
          <w:sz w:val="28"/>
          <w:szCs w:val="28"/>
          <w:lang w:val="en-US"/>
        </w:rPr>
        <w:t> </w:t>
      </w:r>
      <w:hyperlink r:id="rId329" w:tooltip="Chinese economic stimulus program" w:history="1">
        <w:r w:rsidRPr="0068182D">
          <w:rPr>
            <w:rStyle w:val="a5"/>
            <w:color w:val="auto"/>
            <w:sz w:val="28"/>
            <w:szCs w:val="28"/>
            <w:u w:val="none"/>
            <w:lang w:val="en-US"/>
          </w:rPr>
          <w:t>US$586 billion economic stimulus package</w:t>
        </w:r>
      </w:hyperlink>
      <w:r w:rsidRPr="0068182D">
        <w:rPr>
          <w:rStyle w:val="apple-converted-space"/>
          <w:sz w:val="28"/>
          <w:szCs w:val="28"/>
          <w:lang w:val="en-US"/>
        </w:rPr>
        <w:t> </w:t>
      </w:r>
      <w:r w:rsidRPr="0068182D">
        <w:rPr>
          <w:sz w:val="28"/>
          <w:szCs w:val="28"/>
          <w:lang w:val="en-US"/>
        </w:rPr>
        <w:t>of November 2008, the government is planning to remove loan quotas and ceilings for all lenders, and increase bank credit for priority projects, including rural areas, small businesses, technology companies, iron and cement companies</w:t>
      </w:r>
    </w:p>
    <w:p w:rsidR="004379E3" w:rsidRPr="0068182D" w:rsidRDefault="004379E3" w:rsidP="00C40532">
      <w:pPr>
        <w:pBdr>
          <w:bottom w:val="single" w:sz="6" w:space="0" w:color="A2A9B1"/>
        </w:pBdr>
        <w:shd w:val="clear" w:color="auto" w:fill="FFFFFF"/>
        <w:spacing w:after="0" w:line="240" w:lineRule="auto"/>
        <w:ind w:firstLine="567"/>
        <w:jc w:val="both"/>
        <w:outlineLvl w:val="1"/>
        <w:rPr>
          <w:rFonts w:ascii="Times New Roman" w:hAnsi="Times New Roman" w:cs="Times New Roman"/>
          <w:b/>
          <w:sz w:val="28"/>
          <w:szCs w:val="28"/>
          <w:lang w:val="en-US"/>
        </w:rPr>
      </w:pPr>
      <w:r w:rsidRPr="0068182D">
        <w:rPr>
          <w:rFonts w:ascii="Times New Roman" w:hAnsi="Times New Roman" w:cs="Times New Roman"/>
          <w:b/>
          <w:sz w:val="28"/>
          <w:szCs w:val="28"/>
          <w:lang w:val="en-US"/>
        </w:rPr>
        <w:t>Financial reform</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For the past few decades, the</w:t>
      </w:r>
      <w:r w:rsidRPr="0068182D">
        <w:rPr>
          <w:rStyle w:val="apple-converted-space"/>
          <w:sz w:val="28"/>
          <w:szCs w:val="28"/>
          <w:lang w:val="en-US"/>
        </w:rPr>
        <w:t> </w:t>
      </w:r>
      <w:hyperlink r:id="rId330" w:tooltip="People's Bank of China" w:history="1">
        <w:r w:rsidRPr="0068182D">
          <w:rPr>
            <w:rStyle w:val="a5"/>
            <w:color w:val="auto"/>
            <w:sz w:val="28"/>
            <w:szCs w:val="28"/>
            <w:u w:val="none"/>
            <w:lang w:val="en-US"/>
          </w:rPr>
          <w:t>People's Bank of China</w:t>
        </w:r>
      </w:hyperlink>
      <w:r w:rsidRPr="0068182D">
        <w:rPr>
          <w:rStyle w:val="apple-converted-space"/>
          <w:sz w:val="28"/>
          <w:szCs w:val="28"/>
          <w:lang w:val="en-US"/>
        </w:rPr>
        <w:t> </w:t>
      </w:r>
      <w:r w:rsidRPr="0068182D">
        <w:rPr>
          <w:sz w:val="28"/>
          <w:szCs w:val="28"/>
          <w:lang w:val="en-US"/>
        </w:rPr>
        <w:t>has exercised the functions and powers of a</w:t>
      </w:r>
      <w:r w:rsidRPr="0068182D">
        <w:rPr>
          <w:rStyle w:val="apple-converted-space"/>
          <w:sz w:val="28"/>
          <w:szCs w:val="28"/>
          <w:lang w:val="en-US"/>
        </w:rPr>
        <w:t> </w:t>
      </w:r>
      <w:hyperlink r:id="rId331" w:tooltip="Central bank" w:history="1">
        <w:r w:rsidRPr="0068182D">
          <w:rPr>
            <w:rStyle w:val="a5"/>
            <w:color w:val="auto"/>
            <w:sz w:val="28"/>
            <w:szCs w:val="28"/>
            <w:u w:val="none"/>
            <w:lang w:val="en-US"/>
          </w:rPr>
          <w:t>central bank</w:t>
        </w:r>
      </w:hyperlink>
      <w:r w:rsidRPr="0068182D">
        <w:rPr>
          <w:sz w:val="28"/>
          <w:szCs w:val="28"/>
          <w:lang w:val="en-US"/>
        </w:rPr>
        <w:t>, as well as handling industrial and commercial</w:t>
      </w:r>
      <w:r w:rsidRPr="0068182D">
        <w:rPr>
          <w:rStyle w:val="apple-converted-space"/>
          <w:sz w:val="28"/>
          <w:szCs w:val="28"/>
          <w:lang w:val="en-US"/>
        </w:rPr>
        <w:t> </w:t>
      </w:r>
      <w:hyperlink r:id="rId332" w:tooltip="Credit (finance)" w:history="1">
        <w:r w:rsidRPr="0068182D">
          <w:rPr>
            <w:rStyle w:val="a5"/>
            <w:color w:val="auto"/>
            <w:sz w:val="28"/>
            <w:szCs w:val="28"/>
            <w:u w:val="none"/>
            <w:lang w:val="en-US"/>
          </w:rPr>
          <w:t>credits</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333" w:tooltip="Saving" w:history="1">
        <w:r w:rsidRPr="0068182D">
          <w:rPr>
            <w:rStyle w:val="a5"/>
            <w:color w:val="auto"/>
            <w:sz w:val="28"/>
            <w:szCs w:val="28"/>
            <w:u w:val="none"/>
            <w:lang w:val="en-US"/>
          </w:rPr>
          <w:t>savings</w:t>
        </w:r>
      </w:hyperlink>
      <w:r w:rsidRPr="0068182D">
        <w:rPr>
          <w:rStyle w:val="apple-converted-space"/>
          <w:sz w:val="28"/>
          <w:szCs w:val="28"/>
          <w:lang w:val="en-US"/>
        </w:rPr>
        <w:t> </w:t>
      </w:r>
      <w:r w:rsidRPr="0068182D">
        <w:rPr>
          <w:sz w:val="28"/>
          <w:szCs w:val="28"/>
          <w:lang w:val="en-US"/>
        </w:rPr>
        <w:t>business; it was neither the central bank in the true sense, nor a commercial entity conforming to the law of the</w:t>
      </w:r>
      <w:r w:rsidRPr="0068182D">
        <w:rPr>
          <w:rStyle w:val="apple-converted-space"/>
          <w:sz w:val="28"/>
          <w:szCs w:val="28"/>
          <w:lang w:val="en-US"/>
        </w:rPr>
        <w:t> </w:t>
      </w:r>
      <w:hyperlink r:id="rId334" w:tooltip="Market economy" w:history="1">
        <w:r w:rsidRPr="0068182D">
          <w:rPr>
            <w:rStyle w:val="a5"/>
            <w:color w:val="auto"/>
            <w:sz w:val="28"/>
            <w:szCs w:val="28"/>
            <w:u w:val="none"/>
            <w:lang w:val="en-US"/>
          </w:rPr>
          <w:t>market economy</w:t>
        </w:r>
      </w:hyperlink>
      <w:r w:rsidRPr="0068182D">
        <w:rPr>
          <w:sz w:val="28"/>
          <w:szCs w:val="28"/>
          <w:lang w:val="en-US"/>
        </w:rPr>
        <w:t>. But since reform and opening-up began in 1978, China has carried out a series of significant reforms in its</w:t>
      </w:r>
      <w:r w:rsidRPr="0068182D">
        <w:rPr>
          <w:rStyle w:val="apple-converted-space"/>
          <w:sz w:val="28"/>
          <w:szCs w:val="28"/>
          <w:lang w:val="en-US"/>
        </w:rPr>
        <w:t> </w:t>
      </w:r>
      <w:hyperlink r:id="rId335" w:tooltip="Banking in China" w:history="1">
        <w:r w:rsidRPr="0068182D">
          <w:rPr>
            <w:rStyle w:val="a5"/>
            <w:color w:val="auto"/>
            <w:sz w:val="28"/>
            <w:szCs w:val="28"/>
            <w:u w:val="none"/>
            <w:lang w:val="en-US"/>
          </w:rPr>
          <w:t>banking system</w:t>
        </w:r>
      </w:hyperlink>
      <w:r w:rsidRPr="0068182D">
        <w:rPr>
          <w:sz w:val="28"/>
          <w:szCs w:val="28"/>
          <w:lang w:val="en-US"/>
        </w:rPr>
        <w:t>, and strengthened its opening to the outside world. Consequently, the</w:t>
      </w:r>
      <w:r w:rsidRPr="0068182D">
        <w:rPr>
          <w:rStyle w:val="apple-converted-space"/>
          <w:sz w:val="28"/>
          <w:szCs w:val="28"/>
          <w:lang w:val="en-US"/>
        </w:rPr>
        <w:t> </w:t>
      </w:r>
      <w:hyperlink r:id="rId336" w:tooltip="Financial services" w:history="1">
        <w:r w:rsidRPr="0068182D">
          <w:rPr>
            <w:rStyle w:val="a5"/>
            <w:color w:val="auto"/>
            <w:sz w:val="28"/>
            <w:szCs w:val="28"/>
            <w:u w:val="none"/>
            <w:lang w:val="en-US"/>
          </w:rPr>
          <w:t>finance industry</w:t>
        </w:r>
      </w:hyperlink>
      <w:r w:rsidRPr="0068182D">
        <w:rPr>
          <w:rStyle w:val="apple-converted-space"/>
          <w:sz w:val="28"/>
          <w:szCs w:val="28"/>
          <w:lang w:val="en-US"/>
        </w:rPr>
        <w:t> </w:t>
      </w:r>
      <w:r w:rsidRPr="0068182D">
        <w:rPr>
          <w:sz w:val="28"/>
          <w:szCs w:val="28"/>
          <w:lang w:val="en-US"/>
        </w:rPr>
        <w:t>has made steady development. At the end of 2004, the balance of domestic and foreign currency savings deposits stood at 25,318.8 billion yuan and the balance of home and foreign currency loans came to 18,856.6 billion yuan. Now China has basically formed a financial system under the regulation, control and supervision of the central bank, with its state banks as the mainstay, featuring the separation of policy-related finance and commercial finance, the cooperation of various financial institutions with mutually complementary functions.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In 1984, the People's Bank of China stopped handling credit and savings business, and began formally to exercise central bank functions and powers by conducting macro-control and supervision over the</w:t>
      </w:r>
      <w:r w:rsidRPr="0068182D">
        <w:rPr>
          <w:rStyle w:val="apple-converted-space"/>
          <w:sz w:val="28"/>
          <w:szCs w:val="28"/>
          <w:lang w:val="en-US"/>
        </w:rPr>
        <w:t> </w:t>
      </w:r>
      <w:hyperlink r:id="rId337" w:tooltip="Banking in China" w:history="1">
        <w:r w:rsidRPr="0068182D">
          <w:rPr>
            <w:rStyle w:val="a5"/>
            <w:color w:val="auto"/>
            <w:sz w:val="28"/>
            <w:szCs w:val="28"/>
            <w:u w:val="none"/>
            <w:lang w:val="en-US"/>
          </w:rPr>
          <w:t>nation's banking system</w:t>
        </w:r>
      </w:hyperlink>
      <w:r w:rsidRPr="0068182D">
        <w:rPr>
          <w:sz w:val="28"/>
          <w:szCs w:val="28"/>
          <w:lang w:val="en-US"/>
        </w:rPr>
        <w:t>. In 1994, the</w:t>
      </w:r>
      <w:r w:rsidRPr="0068182D">
        <w:rPr>
          <w:rStyle w:val="apple-converted-space"/>
          <w:sz w:val="28"/>
          <w:szCs w:val="28"/>
          <w:lang w:val="en-US"/>
        </w:rPr>
        <w:t> </w:t>
      </w:r>
      <w:hyperlink r:id="rId338" w:tooltip="Industrial and Commercial Bank of China" w:history="1">
        <w:r w:rsidRPr="0068182D">
          <w:rPr>
            <w:rStyle w:val="a5"/>
            <w:color w:val="auto"/>
            <w:sz w:val="28"/>
            <w:szCs w:val="28"/>
            <w:u w:val="none"/>
            <w:lang w:val="en-US"/>
          </w:rPr>
          <w:t>Industrial and Commercial Bank of China</w:t>
        </w:r>
      </w:hyperlink>
      <w:r w:rsidRPr="0068182D">
        <w:rPr>
          <w:sz w:val="28"/>
          <w:szCs w:val="28"/>
          <w:lang w:val="en-US"/>
        </w:rPr>
        <w:t>, the</w:t>
      </w:r>
      <w:r w:rsidRPr="0068182D">
        <w:rPr>
          <w:rStyle w:val="apple-converted-space"/>
          <w:sz w:val="28"/>
          <w:szCs w:val="28"/>
          <w:lang w:val="en-US"/>
        </w:rPr>
        <w:t> </w:t>
      </w:r>
      <w:hyperlink r:id="rId339" w:tooltip="Bank of China" w:history="1">
        <w:r w:rsidRPr="0068182D">
          <w:rPr>
            <w:rStyle w:val="a5"/>
            <w:color w:val="auto"/>
            <w:sz w:val="28"/>
            <w:szCs w:val="28"/>
            <w:u w:val="none"/>
            <w:lang w:val="en-US"/>
          </w:rPr>
          <w:t>Bank of China</w:t>
        </w:r>
      </w:hyperlink>
      <w:r w:rsidRPr="0068182D">
        <w:rPr>
          <w:sz w:val="28"/>
          <w:szCs w:val="28"/>
          <w:lang w:val="en-US"/>
        </w:rPr>
        <w:t>, the</w:t>
      </w:r>
      <w:r w:rsidRPr="0068182D">
        <w:rPr>
          <w:rStyle w:val="apple-converted-space"/>
          <w:sz w:val="28"/>
          <w:szCs w:val="28"/>
          <w:lang w:val="en-US"/>
        </w:rPr>
        <w:t> </w:t>
      </w:r>
      <w:hyperlink r:id="rId340" w:tooltip="Agricultural Bank of China" w:history="1">
        <w:r w:rsidRPr="0068182D">
          <w:rPr>
            <w:rStyle w:val="a5"/>
            <w:color w:val="auto"/>
            <w:sz w:val="28"/>
            <w:szCs w:val="28"/>
            <w:u w:val="none"/>
            <w:lang w:val="en-US"/>
          </w:rPr>
          <w:t>Agricultural Bank of China</w:t>
        </w:r>
      </w:hyperlink>
      <w:r w:rsidRPr="0068182D">
        <w:rPr>
          <w:rStyle w:val="apple-converted-space"/>
          <w:sz w:val="28"/>
          <w:szCs w:val="28"/>
          <w:lang w:val="en-US"/>
        </w:rPr>
        <w:t> </w:t>
      </w:r>
      <w:r w:rsidRPr="0068182D">
        <w:rPr>
          <w:sz w:val="28"/>
          <w:szCs w:val="28"/>
          <w:lang w:val="en-US"/>
        </w:rPr>
        <w:t>and the</w:t>
      </w:r>
      <w:r w:rsidRPr="0068182D">
        <w:rPr>
          <w:rStyle w:val="apple-converted-space"/>
          <w:sz w:val="28"/>
          <w:szCs w:val="28"/>
          <w:lang w:val="en-US"/>
        </w:rPr>
        <w:t> </w:t>
      </w:r>
      <w:hyperlink r:id="rId341" w:tooltip="China Construction Bank" w:history="1">
        <w:r w:rsidRPr="0068182D">
          <w:rPr>
            <w:rStyle w:val="a5"/>
            <w:color w:val="auto"/>
            <w:sz w:val="28"/>
            <w:szCs w:val="28"/>
            <w:u w:val="none"/>
            <w:lang w:val="en-US"/>
          </w:rPr>
          <w:t>China Construction Bank</w:t>
        </w:r>
      </w:hyperlink>
      <w:r w:rsidRPr="0068182D">
        <w:rPr>
          <w:rStyle w:val="apple-converted-space"/>
          <w:sz w:val="28"/>
          <w:szCs w:val="28"/>
          <w:lang w:val="en-US"/>
        </w:rPr>
        <w:t> </w:t>
      </w:r>
      <w:r w:rsidRPr="0068182D">
        <w:rPr>
          <w:sz w:val="28"/>
          <w:szCs w:val="28"/>
          <w:lang w:val="en-US"/>
        </w:rPr>
        <w:t>were transformed into state-owned commercial banks; and three policy-related banks were founded, namely, the</w:t>
      </w:r>
      <w:r w:rsidRPr="0068182D">
        <w:rPr>
          <w:rStyle w:val="apple-converted-space"/>
          <w:sz w:val="28"/>
          <w:szCs w:val="28"/>
          <w:lang w:val="en-US"/>
        </w:rPr>
        <w:t> </w:t>
      </w:r>
      <w:hyperlink r:id="rId342" w:tooltip="Agricultural Development Bank of China" w:history="1">
        <w:r w:rsidRPr="0068182D">
          <w:rPr>
            <w:rStyle w:val="a5"/>
            <w:color w:val="auto"/>
            <w:sz w:val="28"/>
            <w:szCs w:val="28"/>
            <w:u w:val="none"/>
            <w:lang w:val="en-US"/>
          </w:rPr>
          <w:t>Agricultural Development Bank of China</w:t>
        </w:r>
      </w:hyperlink>
      <w:r w:rsidRPr="0068182D">
        <w:rPr>
          <w:sz w:val="28"/>
          <w:szCs w:val="28"/>
          <w:lang w:val="en-US"/>
        </w:rPr>
        <w:t>, the</w:t>
      </w:r>
      <w:r w:rsidRPr="0068182D">
        <w:rPr>
          <w:rStyle w:val="apple-converted-space"/>
          <w:sz w:val="28"/>
          <w:szCs w:val="28"/>
          <w:lang w:val="en-US"/>
        </w:rPr>
        <w:t> </w:t>
      </w:r>
      <w:hyperlink r:id="rId343" w:tooltip="China Development Bank" w:history="1">
        <w:r w:rsidRPr="0068182D">
          <w:rPr>
            <w:rStyle w:val="a5"/>
            <w:color w:val="auto"/>
            <w:sz w:val="28"/>
            <w:szCs w:val="28"/>
            <w:u w:val="none"/>
            <w:lang w:val="en-US"/>
          </w:rPr>
          <w:t>China Development Bank</w:t>
        </w:r>
      </w:hyperlink>
      <w:r w:rsidRPr="0068182D">
        <w:rPr>
          <w:rStyle w:val="apple-converted-space"/>
          <w:sz w:val="28"/>
          <w:szCs w:val="28"/>
          <w:lang w:val="en-US"/>
        </w:rPr>
        <w:t> </w:t>
      </w:r>
      <w:r w:rsidRPr="0068182D">
        <w:rPr>
          <w:sz w:val="28"/>
          <w:szCs w:val="28"/>
          <w:lang w:val="en-US"/>
        </w:rPr>
        <w:t>and the</w:t>
      </w:r>
      <w:r w:rsidRPr="0068182D">
        <w:rPr>
          <w:rStyle w:val="apple-converted-space"/>
          <w:sz w:val="28"/>
          <w:szCs w:val="28"/>
          <w:lang w:val="en-US"/>
        </w:rPr>
        <w:t> </w:t>
      </w:r>
      <w:hyperlink r:id="rId344" w:tooltip="China Import and Export Bank" w:history="1">
        <w:r w:rsidRPr="0068182D">
          <w:rPr>
            <w:rStyle w:val="a5"/>
            <w:color w:val="auto"/>
            <w:sz w:val="28"/>
            <w:szCs w:val="28"/>
            <w:u w:val="none"/>
            <w:lang w:val="en-US"/>
          </w:rPr>
          <w:t>China Import and Export Bank</w:t>
        </w:r>
      </w:hyperlink>
      <w:r w:rsidRPr="0068182D">
        <w:rPr>
          <w:sz w:val="28"/>
          <w:szCs w:val="28"/>
          <w:lang w:val="en-US"/>
        </w:rPr>
        <w:t>. In 1995, the</w:t>
      </w:r>
      <w:r w:rsidRPr="0068182D">
        <w:rPr>
          <w:rStyle w:val="apple-converted-space"/>
          <w:sz w:val="28"/>
          <w:szCs w:val="28"/>
          <w:lang w:val="en-US"/>
        </w:rPr>
        <w:t> </w:t>
      </w:r>
      <w:hyperlink r:id="rId345" w:tooltip="Commercial Bank Law (page does not exist)" w:history="1">
        <w:r w:rsidRPr="0068182D">
          <w:rPr>
            <w:rStyle w:val="a5"/>
            <w:color w:val="auto"/>
            <w:sz w:val="28"/>
            <w:szCs w:val="28"/>
            <w:u w:val="none"/>
            <w:lang w:val="en-US"/>
          </w:rPr>
          <w:t>Commercial Bank Law</w:t>
        </w:r>
      </w:hyperlink>
      <w:r w:rsidRPr="0068182D">
        <w:rPr>
          <w:rStyle w:val="apple-converted-space"/>
          <w:sz w:val="28"/>
          <w:szCs w:val="28"/>
          <w:lang w:val="en-US"/>
        </w:rPr>
        <w:t> </w:t>
      </w:r>
      <w:r w:rsidRPr="0068182D">
        <w:rPr>
          <w:sz w:val="28"/>
          <w:szCs w:val="28"/>
          <w:lang w:val="en-US"/>
        </w:rPr>
        <w:t>was promulgated, creating the conditions for forming the commercial bank system and organizational structure, and providing a legal basis for changing the specialized state banks to state-owned commercial banks.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Since 1996, the financial organizational system has gradually been improved; the wholly state-owned commercial banks have been transformed into modern financial enterprises handling currencies; over 120 shareholding medium and small-sized commercial banks have been set up or reorganized; and securities and insurance financial institutions have been further standardized and developed. April 2003 saw the formal establishment of the</w:t>
      </w:r>
      <w:r w:rsidRPr="0068182D">
        <w:rPr>
          <w:rStyle w:val="apple-converted-space"/>
          <w:sz w:val="28"/>
          <w:szCs w:val="28"/>
          <w:lang w:val="en-US"/>
        </w:rPr>
        <w:t> </w:t>
      </w:r>
      <w:hyperlink r:id="rId346" w:tooltip="China Banking Regulatory Commission" w:history="1">
        <w:r w:rsidRPr="0068182D">
          <w:rPr>
            <w:rStyle w:val="a5"/>
            <w:color w:val="auto"/>
            <w:sz w:val="28"/>
            <w:szCs w:val="28"/>
            <w:u w:val="none"/>
            <w:lang w:val="en-US"/>
          </w:rPr>
          <w:t>China Banking Regulatory Commission</w:t>
        </w:r>
      </w:hyperlink>
      <w:r w:rsidRPr="0068182D">
        <w:rPr>
          <w:rStyle w:val="apple-converted-space"/>
          <w:sz w:val="28"/>
          <w:szCs w:val="28"/>
          <w:lang w:val="en-US"/>
        </w:rPr>
        <w:t> </w:t>
      </w:r>
      <w:r w:rsidRPr="0068182D">
        <w:rPr>
          <w:sz w:val="28"/>
          <w:szCs w:val="28"/>
          <w:lang w:val="en-US"/>
        </w:rPr>
        <w:t>(CBRC). Since then, a</w:t>
      </w:r>
      <w:r w:rsidRPr="0068182D">
        <w:rPr>
          <w:rStyle w:val="apple-converted-space"/>
          <w:sz w:val="28"/>
          <w:szCs w:val="28"/>
          <w:lang w:val="en-US"/>
        </w:rPr>
        <w:t> </w:t>
      </w:r>
      <w:hyperlink r:id="rId347" w:tooltip="Financial regulation" w:history="1">
        <w:r w:rsidRPr="0068182D">
          <w:rPr>
            <w:rStyle w:val="a5"/>
            <w:color w:val="auto"/>
            <w:sz w:val="28"/>
            <w:szCs w:val="28"/>
            <w:u w:val="none"/>
            <w:lang w:val="en-US"/>
          </w:rPr>
          <w:t>financial regulatory system</w:t>
        </w:r>
      </w:hyperlink>
      <w:r w:rsidRPr="0068182D">
        <w:rPr>
          <w:rStyle w:val="apple-converted-space"/>
          <w:sz w:val="28"/>
          <w:szCs w:val="28"/>
          <w:lang w:val="en-US"/>
        </w:rPr>
        <w:t> </w:t>
      </w:r>
      <w:r w:rsidRPr="0068182D">
        <w:rPr>
          <w:sz w:val="28"/>
          <w:szCs w:val="28"/>
          <w:lang w:val="en-US"/>
        </w:rPr>
        <w:t>has been formed in which CBRC,</w:t>
      </w:r>
      <w:r w:rsidRPr="0068182D">
        <w:rPr>
          <w:rStyle w:val="apple-converted-space"/>
          <w:sz w:val="28"/>
          <w:szCs w:val="28"/>
          <w:lang w:val="en-US"/>
        </w:rPr>
        <w:t> </w:t>
      </w:r>
      <w:hyperlink r:id="rId348" w:tooltip="China Securities Regulatory Commission" w:history="1">
        <w:r w:rsidRPr="0068182D">
          <w:rPr>
            <w:rStyle w:val="a5"/>
            <w:color w:val="auto"/>
            <w:sz w:val="28"/>
            <w:szCs w:val="28"/>
            <w:u w:val="none"/>
            <w:lang w:val="en-US"/>
          </w:rPr>
          <w:t>China Securities Regulatory Commission</w:t>
        </w:r>
      </w:hyperlink>
      <w:r w:rsidRPr="0068182D">
        <w:rPr>
          <w:rStyle w:val="apple-converted-space"/>
          <w:sz w:val="28"/>
          <w:szCs w:val="28"/>
          <w:lang w:val="en-US"/>
        </w:rPr>
        <w:t> </w:t>
      </w:r>
      <w:r w:rsidRPr="0068182D">
        <w:rPr>
          <w:sz w:val="28"/>
          <w:szCs w:val="28"/>
          <w:lang w:val="en-US"/>
        </w:rPr>
        <w:t>(CSRC) and</w:t>
      </w:r>
      <w:r w:rsidRPr="0068182D">
        <w:rPr>
          <w:rStyle w:val="apple-converted-space"/>
          <w:sz w:val="28"/>
          <w:szCs w:val="28"/>
          <w:lang w:val="en-US"/>
        </w:rPr>
        <w:t> </w:t>
      </w:r>
      <w:hyperlink r:id="rId349" w:tooltip="China Insurance Regulatory Commission" w:history="1">
        <w:r w:rsidRPr="0068182D">
          <w:rPr>
            <w:rStyle w:val="a5"/>
            <w:color w:val="auto"/>
            <w:sz w:val="28"/>
            <w:szCs w:val="28"/>
            <w:u w:val="none"/>
            <w:lang w:val="en-US"/>
          </w:rPr>
          <w:t>China Insurance Regulatory Commission</w:t>
        </w:r>
      </w:hyperlink>
      <w:r w:rsidRPr="0068182D">
        <w:rPr>
          <w:rStyle w:val="apple-converted-space"/>
          <w:sz w:val="28"/>
          <w:szCs w:val="28"/>
          <w:lang w:val="en-US"/>
        </w:rPr>
        <w:t> </w:t>
      </w:r>
      <w:r w:rsidRPr="0068182D">
        <w:rPr>
          <w:sz w:val="28"/>
          <w:szCs w:val="28"/>
          <w:lang w:val="en-US"/>
        </w:rPr>
        <w:t>(CIRC) work in coordination, each body having its own clearly defined responsibilities.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In January 2004, the State Council decided that the Bank of China and the China Construction Bank would start the experiment of transforming the</w:t>
      </w:r>
      <w:r w:rsidRPr="0068182D">
        <w:rPr>
          <w:rStyle w:val="apple-converted-space"/>
          <w:sz w:val="28"/>
          <w:szCs w:val="28"/>
          <w:lang w:val="en-US"/>
        </w:rPr>
        <w:t> </w:t>
      </w:r>
      <w:hyperlink r:id="rId350" w:tooltip="Shareholder" w:history="1">
        <w:r w:rsidRPr="0068182D">
          <w:rPr>
            <w:rStyle w:val="a5"/>
            <w:color w:val="auto"/>
            <w:sz w:val="28"/>
            <w:szCs w:val="28"/>
            <w:u w:val="none"/>
            <w:lang w:val="en-US"/>
          </w:rPr>
          <w:t>shareholding</w:t>
        </w:r>
      </w:hyperlink>
      <w:r w:rsidRPr="0068182D">
        <w:rPr>
          <w:rStyle w:val="apple-converted-space"/>
          <w:sz w:val="28"/>
          <w:szCs w:val="28"/>
          <w:lang w:val="en-US"/>
        </w:rPr>
        <w:t> </w:t>
      </w:r>
      <w:r w:rsidRPr="0068182D">
        <w:rPr>
          <w:sz w:val="28"/>
          <w:szCs w:val="28"/>
          <w:lang w:val="en-US"/>
        </w:rPr>
        <w:t>system. The main tasks are to establish a standardized</w:t>
      </w:r>
      <w:r w:rsidRPr="0068182D">
        <w:rPr>
          <w:rStyle w:val="apple-converted-space"/>
          <w:sz w:val="28"/>
          <w:szCs w:val="28"/>
          <w:lang w:val="en-US"/>
        </w:rPr>
        <w:t> </w:t>
      </w:r>
      <w:hyperlink r:id="rId351" w:tooltip="Corporate governance" w:history="1">
        <w:r w:rsidRPr="0068182D">
          <w:rPr>
            <w:rStyle w:val="a5"/>
            <w:color w:val="auto"/>
            <w:sz w:val="28"/>
            <w:szCs w:val="28"/>
            <w:u w:val="none"/>
            <w:lang w:val="en-US"/>
          </w:rPr>
          <w:t>corporate governance</w:t>
        </w:r>
      </w:hyperlink>
      <w:r w:rsidRPr="0068182D">
        <w:rPr>
          <w:rStyle w:val="apple-converted-space"/>
          <w:sz w:val="28"/>
          <w:szCs w:val="28"/>
          <w:lang w:val="en-US"/>
        </w:rPr>
        <w:t> </w:t>
      </w:r>
      <w:r w:rsidRPr="0068182D">
        <w:rPr>
          <w:sz w:val="28"/>
          <w:szCs w:val="28"/>
          <w:lang w:val="en-US"/>
        </w:rPr>
        <w:t>and an internal system of rights and responsibilities in accordance with the requirements for modern commercial banks; to restructure the financial system, speed up the disposal of non-performing assets and to reinforce minimum capital requirement to build up first-class modern financial enterprises. Now, six shareholding commercial banks and urban commercial banks in China have begun to accept overseas investors as shareholders.</w:t>
      </w:r>
    </w:p>
    <w:p w:rsidR="004379E3" w:rsidRPr="0068182D" w:rsidRDefault="004379E3" w:rsidP="00C40532">
      <w:pPr>
        <w:pStyle w:val="3"/>
        <w:shd w:val="clear" w:color="auto" w:fill="FFFFFF"/>
        <w:spacing w:before="0" w:line="240" w:lineRule="auto"/>
        <w:ind w:firstLine="567"/>
        <w:jc w:val="both"/>
        <w:rPr>
          <w:rFonts w:ascii="Times New Roman" w:hAnsi="Times New Roman" w:cs="Times New Roman"/>
          <w:color w:val="auto"/>
          <w:sz w:val="28"/>
          <w:szCs w:val="28"/>
          <w:lang w:val="en-US"/>
        </w:rPr>
      </w:pPr>
      <w:r w:rsidRPr="0068182D">
        <w:rPr>
          <w:rStyle w:val="mw-headline"/>
          <w:rFonts w:ascii="Times New Roman" w:hAnsi="Times New Roman" w:cs="Times New Roman"/>
          <w:color w:val="auto"/>
          <w:sz w:val="28"/>
          <w:szCs w:val="28"/>
          <w:lang w:val="en-US"/>
        </w:rPr>
        <w:t>Opening up of the financial industry</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Over the past 20-odd years,[when?] China's financial institutions in the</w:t>
      </w:r>
      <w:r w:rsidRPr="0068182D">
        <w:rPr>
          <w:rStyle w:val="apple-converted-space"/>
          <w:sz w:val="28"/>
          <w:szCs w:val="28"/>
          <w:lang w:val="en-US"/>
        </w:rPr>
        <w:t> </w:t>
      </w:r>
      <w:hyperlink r:id="rId352" w:tooltip="Special Economic Zone" w:history="1">
        <w:r w:rsidRPr="0068182D">
          <w:rPr>
            <w:rStyle w:val="a5"/>
            <w:color w:val="auto"/>
            <w:sz w:val="28"/>
            <w:szCs w:val="28"/>
            <w:u w:val="none"/>
            <w:lang w:val="en-US"/>
          </w:rPr>
          <w:t>Special Economic Zone</w:t>
        </w:r>
      </w:hyperlink>
      <w:r w:rsidRPr="0068182D">
        <w:rPr>
          <w:sz w:val="28"/>
          <w:szCs w:val="28"/>
          <w:lang w:val="en-US"/>
        </w:rPr>
        <w:t>, coastal open cities and inland central cities have approved a range of wholly foreign-owned and Chinese-foreign joint venture financial institutions. Every year since 2002, China has increased the number of cities where foreign banks are allowed to handle RMB business, and within five years such banks will be allowed to handle RMB business in any city. At the end of 2004, the total assets of foreign financial institutions in China reached over US$47 billion; foreign banks were allowed to handle RMB business in 16 areas, and 62 foreign banks from 19 countries and regions set up 191 business institutions in China, of which 116 were approved to handle RMB business. There were 211 foreign bank branches in China.</w:t>
      </w:r>
      <w:r w:rsidR="00FF2DA0" w:rsidRPr="0068182D">
        <w:rPr>
          <w:sz w:val="28"/>
          <w:szCs w:val="28"/>
          <w:lang w:val="en-US"/>
        </w:rPr>
        <w:t xml:space="preserve"> </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w:t>
      </w:r>
      <w:r w:rsidRPr="0068182D">
        <w:rPr>
          <w:rStyle w:val="apple-converted-space"/>
          <w:sz w:val="28"/>
          <w:szCs w:val="28"/>
          <w:lang w:val="en-US"/>
        </w:rPr>
        <w:t> </w:t>
      </w:r>
      <w:hyperlink r:id="rId353" w:tooltip="China Securities Regulatory Commission" w:history="1">
        <w:r w:rsidRPr="0068182D">
          <w:rPr>
            <w:rStyle w:val="a5"/>
            <w:color w:val="auto"/>
            <w:sz w:val="28"/>
            <w:szCs w:val="28"/>
            <w:u w:val="none"/>
            <w:lang w:val="en-US"/>
          </w:rPr>
          <w:t>CSRC</w:t>
        </w:r>
      </w:hyperlink>
      <w:r w:rsidRPr="0068182D">
        <w:rPr>
          <w:rStyle w:val="apple-converted-space"/>
          <w:sz w:val="28"/>
          <w:szCs w:val="28"/>
          <w:lang w:val="en-US"/>
        </w:rPr>
        <w:t> </w:t>
      </w:r>
      <w:r w:rsidRPr="0068182D">
        <w:rPr>
          <w:sz w:val="28"/>
          <w:szCs w:val="28"/>
          <w:lang w:val="en-US"/>
        </w:rPr>
        <w:t>has approved the establishment of 13 Sino-foreign</w:t>
      </w:r>
      <w:r w:rsidRPr="0068182D">
        <w:rPr>
          <w:rStyle w:val="apple-converted-space"/>
          <w:sz w:val="28"/>
          <w:szCs w:val="28"/>
          <w:lang w:val="en-US"/>
        </w:rPr>
        <w:t> </w:t>
      </w:r>
      <w:hyperlink r:id="rId354" w:tooltip="Equity (economics)" w:history="1">
        <w:r w:rsidRPr="0068182D">
          <w:rPr>
            <w:rStyle w:val="a5"/>
            <w:color w:val="auto"/>
            <w:sz w:val="28"/>
            <w:szCs w:val="28"/>
            <w:u w:val="none"/>
            <w:lang w:val="en-US"/>
          </w:rPr>
          <w:t>equity</w:t>
        </w:r>
      </w:hyperlink>
      <w:r w:rsidRPr="0068182D">
        <w:rPr>
          <w:rStyle w:val="apple-converted-space"/>
          <w:sz w:val="28"/>
          <w:szCs w:val="28"/>
          <w:lang w:val="en-US"/>
        </w:rPr>
        <w:t> </w:t>
      </w:r>
      <w:hyperlink r:id="rId355" w:tooltip="Joint venture" w:history="1">
        <w:r w:rsidRPr="0068182D">
          <w:rPr>
            <w:rStyle w:val="a5"/>
            <w:color w:val="auto"/>
            <w:sz w:val="28"/>
            <w:szCs w:val="28"/>
            <w:u w:val="none"/>
            <w:lang w:val="en-US"/>
          </w:rPr>
          <w:t>joint venture</w:t>
        </w:r>
      </w:hyperlink>
      <w:r w:rsidRPr="0068182D">
        <w:rPr>
          <w:rStyle w:val="apple-converted-space"/>
          <w:sz w:val="28"/>
          <w:szCs w:val="28"/>
          <w:lang w:val="en-US"/>
        </w:rPr>
        <w:t> </w:t>
      </w:r>
      <w:hyperlink r:id="rId356" w:tooltip="Investment management" w:history="1">
        <w:r w:rsidRPr="0068182D">
          <w:rPr>
            <w:rStyle w:val="a5"/>
            <w:color w:val="auto"/>
            <w:sz w:val="28"/>
            <w:szCs w:val="28"/>
            <w:u w:val="none"/>
            <w:lang w:val="en-US"/>
          </w:rPr>
          <w:t>fund management</w:t>
        </w:r>
      </w:hyperlink>
      <w:r w:rsidRPr="0068182D">
        <w:rPr>
          <w:rStyle w:val="apple-converted-space"/>
          <w:sz w:val="28"/>
          <w:szCs w:val="28"/>
          <w:lang w:val="en-US"/>
        </w:rPr>
        <w:t> </w:t>
      </w:r>
      <w:hyperlink r:id="rId357" w:tooltip="Company" w:history="1">
        <w:r w:rsidRPr="0068182D">
          <w:rPr>
            <w:rStyle w:val="a5"/>
            <w:color w:val="auto"/>
            <w:sz w:val="28"/>
            <w:szCs w:val="28"/>
            <w:u w:val="none"/>
            <w:lang w:val="en-US"/>
          </w:rPr>
          <w:t>companies</w:t>
        </w:r>
      </w:hyperlink>
      <w:r w:rsidRPr="0068182D">
        <w:rPr>
          <w:sz w:val="28"/>
          <w:szCs w:val="28"/>
          <w:lang w:val="en-US"/>
        </w:rPr>
        <w:t>, and started to formally handle the application of establishment of joint venture fund management companies with a maximum 49 percent foreign share; the</w:t>
      </w:r>
      <w:r w:rsidRPr="0068182D">
        <w:rPr>
          <w:rStyle w:val="apple-converted-space"/>
          <w:sz w:val="28"/>
          <w:szCs w:val="28"/>
          <w:lang w:val="en-US"/>
        </w:rPr>
        <w:t> </w:t>
      </w:r>
      <w:hyperlink r:id="rId358" w:tooltip="China Insurance Regulatory Commission" w:history="1">
        <w:r w:rsidRPr="0068182D">
          <w:rPr>
            <w:rStyle w:val="a5"/>
            <w:color w:val="auto"/>
            <w:sz w:val="28"/>
            <w:szCs w:val="28"/>
            <w:u w:val="none"/>
            <w:lang w:val="en-US"/>
          </w:rPr>
          <w:t>CIRC</w:t>
        </w:r>
      </w:hyperlink>
      <w:r w:rsidRPr="0068182D">
        <w:rPr>
          <w:rStyle w:val="apple-converted-space"/>
          <w:sz w:val="28"/>
          <w:szCs w:val="28"/>
          <w:lang w:val="en-US"/>
        </w:rPr>
        <w:t> </w:t>
      </w:r>
      <w:r w:rsidRPr="0068182D">
        <w:rPr>
          <w:sz w:val="28"/>
          <w:szCs w:val="28"/>
          <w:lang w:val="en-US"/>
        </w:rPr>
        <w:t>declared that: from December 11, 2004 on, foreign insurance companies could handle health insurance, group insurance, life insurance and annuity insurance businesses; regional restrictions on establishing wholly foreign-funded insurance institutions were canceled and the proportion of the foreign share in joint venture insurance agencies was allowed to reach 51 percent.</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Foreign banks have expanded their China-related business scope. In November 2003, the CBRC started to implement new policies, e.g., permitting foreign banks to provide RMB services to all kinds of Chinese enterprises in areas with open RMB business (previously, these banks' RMB services were restricted to foreign-funded enterprises, foreigners and people from Hong Kong, Macao and Taiwan in cities with open RMB business). The new policy also encourages qualified international strategic investors to join the restructuring and reforming of China's banking and financial institutions on a voluntary and commercial basis.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Meanwhile, all China's commercial banks have set up branches overseas, and started an international credit business. The</w:t>
      </w:r>
      <w:r w:rsidRPr="0068182D">
        <w:rPr>
          <w:rStyle w:val="apple-converted-space"/>
          <w:sz w:val="28"/>
          <w:szCs w:val="28"/>
          <w:lang w:val="en-US"/>
        </w:rPr>
        <w:t> </w:t>
      </w:r>
      <w:hyperlink r:id="rId359" w:tooltip="Bank of China" w:history="1">
        <w:r w:rsidRPr="0068182D">
          <w:rPr>
            <w:rStyle w:val="a5"/>
            <w:color w:val="auto"/>
            <w:sz w:val="28"/>
            <w:szCs w:val="28"/>
            <w:u w:val="none"/>
            <w:lang w:val="en-US"/>
          </w:rPr>
          <w:t>Bank of China</w:t>
        </w:r>
      </w:hyperlink>
      <w:r w:rsidRPr="0068182D">
        <w:rPr>
          <w:rStyle w:val="apple-converted-space"/>
          <w:sz w:val="28"/>
          <w:szCs w:val="28"/>
          <w:lang w:val="en-US"/>
        </w:rPr>
        <w:t> </w:t>
      </w:r>
      <w:r w:rsidRPr="0068182D">
        <w:rPr>
          <w:sz w:val="28"/>
          <w:szCs w:val="28"/>
          <w:lang w:val="en-US"/>
        </w:rPr>
        <w:t>ranks first in the number and scale of overseas outlets. In 1980, China resumed membership of the</w:t>
      </w:r>
      <w:r w:rsidRPr="0068182D">
        <w:rPr>
          <w:rStyle w:val="apple-converted-space"/>
          <w:sz w:val="28"/>
          <w:szCs w:val="28"/>
          <w:lang w:val="en-US"/>
        </w:rPr>
        <w:t> </w:t>
      </w:r>
      <w:hyperlink r:id="rId360" w:tooltip="World Bank" w:history="1">
        <w:r w:rsidRPr="0068182D">
          <w:rPr>
            <w:rStyle w:val="a5"/>
            <w:color w:val="auto"/>
            <w:sz w:val="28"/>
            <w:szCs w:val="28"/>
            <w:u w:val="none"/>
            <w:lang w:val="en-US"/>
          </w:rPr>
          <w:t>World Bank</w:t>
        </w:r>
      </w:hyperlink>
      <w:r w:rsidRPr="0068182D">
        <w:rPr>
          <w:sz w:val="28"/>
          <w:szCs w:val="28"/>
          <w:lang w:val="en-US"/>
        </w:rPr>
        <w:t>, and returned to the</w:t>
      </w:r>
      <w:r w:rsidRPr="0068182D">
        <w:rPr>
          <w:rStyle w:val="apple-converted-space"/>
          <w:sz w:val="28"/>
          <w:szCs w:val="28"/>
          <w:lang w:val="en-US"/>
        </w:rPr>
        <w:t> </w:t>
      </w:r>
      <w:hyperlink r:id="rId361" w:tooltip="International Monetary Fund" w:history="1">
        <w:r w:rsidRPr="0068182D">
          <w:rPr>
            <w:rStyle w:val="a5"/>
            <w:color w:val="auto"/>
            <w:sz w:val="28"/>
            <w:szCs w:val="28"/>
            <w:u w:val="none"/>
            <w:lang w:val="en-US"/>
          </w:rPr>
          <w:t>International Monetary Fund</w:t>
        </w:r>
      </w:hyperlink>
      <w:r w:rsidRPr="0068182D">
        <w:rPr>
          <w:sz w:val="28"/>
          <w:szCs w:val="28"/>
          <w:lang w:val="en-US"/>
        </w:rPr>
        <w:t>. In 1984, China started business contacts with the</w:t>
      </w:r>
      <w:r w:rsidRPr="0068182D">
        <w:rPr>
          <w:rStyle w:val="apple-converted-space"/>
          <w:sz w:val="28"/>
          <w:szCs w:val="28"/>
          <w:lang w:val="en-US"/>
        </w:rPr>
        <w:t> </w:t>
      </w:r>
      <w:hyperlink r:id="rId362" w:tooltip="Bank for International Settlements" w:history="1">
        <w:r w:rsidRPr="0068182D">
          <w:rPr>
            <w:rStyle w:val="a5"/>
            <w:color w:val="auto"/>
            <w:sz w:val="28"/>
            <w:szCs w:val="28"/>
            <w:u w:val="none"/>
            <w:lang w:val="en-US"/>
          </w:rPr>
          <w:t>Bank for International Settlements</w:t>
        </w:r>
      </w:hyperlink>
      <w:r w:rsidRPr="0068182D">
        <w:rPr>
          <w:sz w:val="28"/>
          <w:szCs w:val="28"/>
          <w:lang w:val="en-US"/>
        </w:rPr>
        <w:t>. In 1985, China formally joined the</w:t>
      </w:r>
      <w:r w:rsidRPr="0068182D">
        <w:rPr>
          <w:rStyle w:val="apple-converted-space"/>
          <w:sz w:val="28"/>
          <w:szCs w:val="28"/>
          <w:lang w:val="en-US"/>
        </w:rPr>
        <w:t> </w:t>
      </w:r>
      <w:hyperlink r:id="rId363" w:tooltip="African Development Bank" w:history="1">
        <w:r w:rsidRPr="0068182D">
          <w:rPr>
            <w:rStyle w:val="a5"/>
            <w:color w:val="auto"/>
            <w:sz w:val="28"/>
            <w:szCs w:val="28"/>
            <w:u w:val="none"/>
            <w:lang w:val="en-US"/>
          </w:rPr>
          <w:t>African Development Bank</w:t>
        </w:r>
      </w:hyperlink>
      <w:r w:rsidRPr="0068182D">
        <w:rPr>
          <w:rStyle w:val="apple-converted-space"/>
          <w:sz w:val="28"/>
          <w:szCs w:val="28"/>
          <w:lang w:val="en-US"/>
        </w:rPr>
        <w:t> </w:t>
      </w:r>
      <w:r w:rsidRPr="0068182D">
        <w:rPr>
          <w:sz w:val="28"/>
          <w:szCs w:val="28"/>
          <w:lang w:val="en-US"/>
        </w:rPr>
        <w:t>and in 1986 formally became a member of the</w:t>
      </w:r>
      <w:r w:rsidRPr="0068182D">
        <w:rPr>
          <w:rStyle w:val="apple-converted-space"/>
          <w:sz w:val="28"/>
          <w:szCs w:val="28"/>
          <w:lang w:val="en-US"/>
        </w:rPr>
        <w:t> </w:t>
      </w:r>
      <w:hyperlink r:id="rId364" w:tooltip="Asian Development Bank" w:history="1">
        <w:r w:rsidRPr="0068182D">
          <w:rPr>
            <w:rStyle w:val="a5"/>
            <w:color w:val="auto"/>
            <w:sz w:val="28"/>
            <w:szCs w:val="28"/>
            <w:u w:val="none"/>
            <w:lang w:val="en-US"/>
          </w:rPr>
          <w:t>Asian Development Bank</w:t>
        </w:r>
      </w:hyperlink>
      <w:r w:rsidRPr="0068182D">
        <w:rPr>
          <w:sz w:val="28"/>
          <w:szCs w:val="28"/>
          <w:lang w:val="en-US"/>
        </w:rPr>
        <w:t>.</w:t>
      </w:r>
    </w:p>
    <w:p w:rsidR="004379E3" w:rsidRPr="0068182D" w:rsidRDefault="004379E3" w:rsidP="00C40532">
      <w:pPr>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pacing w:after="0" w:line="240" w:lineRule="auto"/>
        <w:ind w:firstLine="567"/>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3.</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budget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budgetary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in China.</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China's</w:t>
      </w:r>
      <w:r w:rsidRPr="0068182D">
        <w:rPr>
          <w:rStyle w:val="apple-converted-space"/>
          <w:sz w:val="28"/>
          <w:szCs w:val="28"/>
          <w:lang w:val="en-US"/>
        </w:rPr>
        <w:t> </w:t>
      </w:r>
      <w:hyperlink r:id="rId365" w:tooltip="Government debt" w:history="1">
        <w:r w:rsidRPr="0068182D">
          <w:rPr>
            <w:rStyle w:val="a5"/>
            <w:color w:val="auto"/>
            <w:sz w:val="28"/>
            <w:szCs w:val="28"/>
            <w:u w:val="none"/>
            <w:lang w:val="en-US"/>
          </w:rPr>
          <w:t>government debt</w:t>
        </w:r>
      </w:hyperlink>
      <w:r w:rsidRPr="0068182D">
        <w:rPr>
          <w:rStyle w:val="apple-converted-space"/>
          <w:sz w:val="28"/>
          <w:szCs w:val="28"/>
          <w:lang w:val="en-US"/>
        </w:rPr>
        <w:t> </w:t>
      </w:r>
      <w:r w:rsidRPr="0068182D">
        <w:rPr>
          <w:sz w:val="28"/>
          <w:szCs w:val="28"/>
          <w:lang w:val="en-US"/>
        </w:rPr>
        <w:t>is less than 25% of</w:t>
      </w:r>
      <w:r w:rsidRPr="0068182D">
        <w:rPr>
          <w:rStyle w:val="apple-converted-space"/>
          <w:sz w:val="28"/>
          <w:szCs w:val="28"/>
          <w:lang w:val="en-US"/>
        </w:rPr>
        <w:t> </w:t>
      </w:r>
      <w:hyperlink r:id="rId366" w:tooltip="Gross domestic product" w:history="1">
        <w:r w:rsidRPr="0068182D">
          <w:rPr>
            <w:rStyle w:val="a5"/>
            <w:color w:val="auto"/>
            <w:sz w:val="28"/>
            <w:szCs w:val="28"/>
            <w:u w:val="none"/>
            <w:lang w:val="en-US"/>
          </w:rPr>
          <w:t>gross domestic product</w:t>
        </w:r>
      </w:hyperlink>
      <w:r w:rsidRPr="0068182D">
        <w:rPr>
          <w:rStyle w:val="apple-converted-space"/>
          <w:sz w:val="28"/>
          <w:szCs w:val="28"/>
          <w:lang w:val="en-US"/>
        </w:rPr>
        <w:t> </w:t>
      </w:r>
      <w:r w:rsidRPr="0068182D">
        <w:rPr>
          <w:sz w:val="28"/>
          <w:szCs w:val="28"/>
          <w:lang w:val="en-US"/>
        </w:rPr>
        <w:t>(about 22.10% in 2006). (See</w:t>
      </w:r>
      <w:r w:rsidRPr="0068182D">
        <w:rPr>
          <w:rStyle w:val="apple-converted-space"/>
          <w:sz w:val="28"/>
          <w:szCs w:val="28"/>
          <w:lang w:val="en-US"/>
        </w:rPr>
        <w:t> </w:t>
      </w:r>
      <w:hyperlink r:id="rId367" w:tooltip="List of countries by public debt" w:history="1">
        <w:r w:rsidRPr="0068182D">
          <w:rPr>
            <w:rStyle w:val="a5"/>
            <w:i/>
            <w:iCs/>
            <w:color w:val="auto"/>
            <w:sz w:val="28"/>
            <w:szCs w:val="28"/>
            <w:u w:val="none"/>
            <w:lang w:val="en-US"/>
          </w:rPr>
          <w:t>List of countries by public debt</w:t>
        </w:r>
      </w:hyperlink>
      <w:r w:rsidRPr="0068182D">
        <w:rPr>
          <w:sz w:val="28"/>
          <w:szCs w:val="28"/>
          <w:lang w:val="en-US"/>
        </w:rPr>
        <w:t>.)</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China has a budget</w:t>
      </w:r>
      <w:r w:rsidRPr="0068182D">
        <w:rPr>
          <w:rStyle w:val="apple-converted-space"/>
          <w:sz w:val="28"/>
          <w:szCs w:val="28"/>
          <w:lang w:val="en-US"/>
        </w:rPr>
        <w:t> </w:t>
      </w:r>
      <w:hyperlink r:id="rId368" w:tooltip="Government budget deficit" w:history="1">
        <w:r w:rsidRPr="0068182D">
          <w:rPr>
            <w:rStyle w:val="a5"/>
            <w:color w:val="auto"/>
            <w:sz w:val="28"/>
            <w:szCs w:val="28"/>
            <w:u w:val="none"/>
            <w:lang w:val="en-US"/>
          </w:rPr>
          <w:t>deficit</w:t>
        </w:r>
      </w:hyperlink>
      <w:r w:rsidRPr="0068182D">
        <w:rPr>
          <w:rStyle w:val="apple-converted-space"/>
          <w:sz w:val="28"/>
          <w:szCs w:val="28"/>
          <w:lang w:val="en-US"/>
        </w:rPr>
        <w:t> </w:t>
      </w:r>
      <w:r w:rsidRPr="0068182D">
        <w:rPr>
          <w:sz w:val="28"/>
          <w:szCs w:val="28"/>
          <w:lang w:val="en-US"/>
        </w:rPr>
        <w:t>of around 1.5% of GDP. China projected a budget deficit of 295 billion yuan in 2006, down 1.7% from 2005. The overall budget deficit in 2004 was approximately US$26 billion, an amount equivalent to about 1.5% of GDP. In 2007, economic planners expect China's already small budget</w:t>
      </w:r>
      <w:r w:rsidRPr="0068182D">
        <w:rPr>
          <w:rStyle w:val="apple-converted-space"/>
          <w:sz w:val="28"/>
          <w:szCs w:val="28"/>
          <w:lang w:val="en-US"/>
        </w:rPr>
        <w:t> </w:t>
      </w:r>
      <w:hyperlink r:id="rId369" w:tooltip="Government budget deficit" w:history="1">
        <w:r w:rsidRPr="0068182D">
          <w:rPr>
            <w:rStyle w:val="a5"/>
            <w:color w:val="auto"/>
            <w:sz w:val="28"/>
            <w:szCs w:val="28"/>
            <w:u w:val="none"/>
            <w:lang w:val="en-US"/>
          </w:rPr>
          <w:t>deficit</w:t>
        </w:r>
      </w:hyperlink>
      <w:r w:rsidRPr="0068182D">
        <w:rPr>
          <w:rStyle w:val="apple-converted-space"/>
          <w:sz w:val="28"/>
          <w:szCs w:val="28"/>
          <w:lang w:val="en-US"/>
        </w:rPr>
        <w:t> </w:t>
      </w:r>
      <w:r w:rsidRPr="0068182D">
        <w:rPr>
          <w:sz w:val="28"/>
          <w:szCs w:val="28"/>
          <w:lang w:val="en-US"/>
        </w:rPr>
        <w:t>to shrink again. According to economists, this has afforded China to spend more on public services such as education and healthcare.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w:t>
      </w:r>
      <w:r w:rsidRPr="0068182D">
        <w:rPr>
          <w:rStyle w:val="apple-converted-space"/>
          <w:sz w:val="28"/>
          <w:szCs w:val="28"/>
          <w:lang w:val="en-US"/>
        </w:rPr>
        <w:t> </w:t>
      </w:r>
      <w:hyperlink r:id="rId370" w:tooltip="Government budget" w:history="1">
        <w:r w:rsidRPr="0068182D">
          <w:rPr>
            <w:rStyle w:val="a5"/>
            <w:color w:val="auto"/>
            <w:sz w:val="28"/>
            <w:szCs w:val="28"/>
            <w:u w:val="none"/>
            <w:lang w:val="en-US"/>
          </w:rPr>
          <w:t>government budget</w:t>
        </w:r>
      </w:hyperlink>
      <w:r w:rsidRPr="0068182D">
        <w:rPr>
          <w:rStyle w:val="apple-converted-space"/>
          <w:sz w:val="28"/>
          <w:szCs w:val="28"/>
          <w:lang w:val="en-US"/>
        </w:rPr>
        <w:t> </w:t>
      </w:r>
      <w:r w:rsidRPr="0068182D">
        <w:rPr>
          <w:sz w:val="28"/>
          <w:szCs w:val="28"/>
          <w:lang w:val="en-US"/>
        </w:rPr>
        <w:t>for 2004 was US$330.6 billion in</w:t>
      </w:r>
      <w:r w:rsidRPr="0068182D">
        <w:rPr>
          <w:rStyle w:val="apple-converted-space"/>
          <w:sz w:val="28"/>
          <w:szCs w:val="28"/>
          <w:lang w:val="en-US"/>
        </w:rPr>
        <w:t> </w:t>
      </w:r>
      <w:hyperlink r:id="rId371" w:tooltip="Revenue" w:history="1">
        <w:r w:rsidRPr="0068182D">
          <w:rPr>
            <w:rStyle w:val="a5"/>
            <w:color w:val="auto"/>
            <w:sz w:val="28"/>
            <w:szCs w:val="28"/>
            <w:u w:val="none"/>
            <w:lang w:val="en-US"/>
          </w:rPr>
          <w:t>revenue</w:t>
        </w:r>
      </w:hyperlink>
      <w:r w:rsidRPr="0068182D">
        <w:rPr>
          <w:rStyle w:val="apple-converted-space"/>
          <w:sz w:val="28"/>
          <w:szCs w:val="28"/>
          <w:lang w:val="en-US"/>
        </w:rPr>
        <w:t> </w:t>
      </w:r>
      <w:r w:rsidRPr="0068182D">
        <w:rPr>
          <w:sz w:val="28"/>
          <w:szCs w:val="28"/>
          <w:lang w:val="en-US"/>
        </w:rPr>
        <w:t>and US$356.8 billion in</w:t>
      </w:r>
      <w:r w:rsidRPr="0068182D">
        <w:rPr>
          <w:rStyle w:val="apple-converted-space"/>
          <w:sz w:val="28"/>
          <w:szCs w:val="28"/>
          <w:lang w:val="en-US"/>
        </w:rPr>
        <w:t> </w:t>
      </w:r>
      <w:hyperlink r:id="rId372" w:tooltip="Cost" w:history="1">
        <w:r w:rsidRPr="0068182D">
          <w:rPr>
            <w:rStyle w:val="a5"/>
            <w:color w:val="auto"/>
            <w:sz w:val="28"/>
            <w:szCs w:val="28"/>
            <w:u w:val="none"/>
            <w:lang w:val="en-US"/>
          </w:rPr>
          <w:t>expenditures</w:t>
        </w:r>
      </w:hyperlink>
      <w:r w:rsidRPr="0068182D">
        <w:rPr>
          <w:sz w:val="28"/>
          <w:szCs w:val="28"/>
          <w:lang w:val="en-US"/>
        </w:rPr>
        <w:t>. 95.5% of revenue was from</w:t>
      </w:r>
      <w:r w:rsidRPr="0068182D">
        <w:rPr>
          <w:rStyle w:val="apple-converted-space"/>
          <w:sz w:val="28"/>
          <w:szCs w:val="28"/>
          <w:lang w:val="en-US"/>
        </w:rPr>
        <w:t> </w:t>
      </w:r>
      <w:hyperlink r:id="rId373" w:tooltip="Tax" w:history="1">
        <w:r w:rsidRPr="0068182D">
          <w:rPr>
            <w:rStyle w:val="a5"/>
            <w:color w:val="auto"/>
            <w:sz w:val="28"/>
            <w:szCs w:val="28"/>
            <w:u w:val="none"/>
            <w:lang w:val="en-US"/>
          </w:rPr>
          <w:t>taxes</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374" w:tooltip="Tariff" w:history="1">
        <w:r w:rsidRPr="0068182D">
          <w:rPr>
            <w:rStyle w:val="a5"/>
            <w:color w:val="auto"/>
            <w:sz w:val="28"/>
            <w:szCs w:val="28"/>
            <w:u w:val="none"/>
            <w:lang w:val="en-US"/>
          </w:rPr>
          <w:t>tariffs</w:t>
        </w:r>
      </w:hyperlink>
      <w:r w:rsidRPr="0068182D">
        <w:rPr>
          <w:sz w:val="28"/>
          <w:szCs w:val="28"/>
          <w:lang w:val="en-US"/>
        </w:rPr>
        <w:t>, 54.9% of which was collected by the</w:t>
      </w:r>
      <w:r w:rsidRPr="0068182D">
        <w:rPr>
          <w:rStyle w:val="apple-converted-space"/>
          <w:sz w:val="28"/>
          <w:szCs w:val="28"/>
          <w:lang w:val="en-US"/>
        </w:rPr>
        <w:t> </w:t>
      </w:r>
      <w:hyperlink r:id="rId375" w:tooltip="Central government" w:history="1">
        <w:r w:rsidRPr="0068182D">
          <w:rPr>
            <w:rStyle w:val="a5"/>
            <w:color w:val="auto"/>
            <w:sz w:val="28"/>
            <w:szCs w:val="28"/>
            <w:u w:val="none"/>
            <w:lang w:val="en-US"/>
          </w:rPr>
          <w:t>central government</w:t>
        </w:r>
      </w:hyperlink>
      <w:r w:rsidRPr="0068182D">
        <w:rPr>
          <w:rStyle w:val="apple-converted-space"/>
          <w:sz w:val="28"/>
          <w:szCs w:val="28"/>
          <w:lang w:val="en-US"/>
        </w:rPr>
        <w:t> </w:t>
      </w:r>
      <w:r w:rsidRPr="0068182D">
        <w:rPr>
          <w:sz w:val="28"/>
          <w:szCs w:val="28"/>
          <w:lang w:val="en-US"/>
        </w:rPr>
        <w:t>and 45% by</w:t>
      </w:r>
      <w:r w:rsidRPr="0068182D">
        <w:rPr>
          <w:rStyle w:val="apple-converted-space"/>
          <w:sz w:val="28"/>
          <w:szCs w:val="28"/>
          <w:lang w:val="en-US"/>
        </w:rPr>
        <w:t> </w:t>
      </w:r>
      <w:hyperlink r:id="rId376" w:tooltip="Local government" w:history="1">
        <w:r w:rsidRPr="0068182D">
          <w:rPr>
            <w:rStyle w:val="a5"/>
            <w:color w:val="auto"/>
            <w:sz w:val="28"/>
            <w:szCs w:val="28"/>
            <w:u w:val="none"/>
            <w:lang w:val="en-US"/>
          </w:rPr>
          <w:t>local government</w:t>
        </w:r>
      </w:hyperlink>
      <w:r w:rsidRPr="0068182D">
        <w:rPr>
          <w:sz w:val="28"/>
          <w:szCs w:val="28"/>
          <w:lang w:val="en-US"/>
        </w:rPr>
        <w:t>. The expenditures were for</w:t>
      </w:r>
      <w:r w:rsidRPr="0068182D">
        <w:rPr>
          <w:rStyle w:val="apple-converted-space"/>
          <w:sz w:val="28"/>
          <w:szCs w:val="28"/>
          <w:lang w:val="en-US"/>
        </w:rPr>
        <w:t> </w:t>
      </w:r>
      <w:hyperlink r:id="rId377" w:tooltip="Culture" w:history="1">
        <w:r w:rsidRPr="0068182D">
          <w:rPr>
            <w:rStyle w:val="a5"/>
            <w:color w:val="auto"/>
            <w:sz w:val="28"/>
            <w:szCs w:val="28"/>
            <w:u w:val="none"/>
            <w:lang w:val="en-US"/>
          </w:rPr>
          <w:t>culture</w:t>
        </w:r>
      </w:hyperlink>
      <w:r w:rsidRPr="0068182D">
        <w:rPr>
          <w:sz w:val="28"/>
          <w:szCs w:val="28"/>
          <w:lang w:val="en-US"/>
        </w:rPr>
        <w:t>,</w:t>
      </w:r>
      <w:r w:rsidRPr="0068182D">
        <w:rPr>
          <w:rStyle w:val="apple-converted-space"/>
          <w:sz w:val="28"/>
          <w:szCs w:val="28"/>
          <w:lang w:val="en-US"/>
        </w:rPr>
        <w:t> </w:t>
      </w:r>
      <w:hyperlink r:id="rId378" w:tooltip="Education" w:history="1">
        <w:r w:rsidRPr="0068182D">
          <w:rPr>
            <w:rStyle w:val="a5"/>
            <w:color w:val="auto"/>
            <w:sz w:val="28"/>
            <w:szCs w:val="28"/>
            <w:u w:val="none"/>
            <w:lang w:val="en-US"/>
          </w:rPr>
          <w:t>education</w:t>
        </w:r>
      </w:hyperlink>
      <w:r w:rsidRPr="0068182D">
        <w:rPr>
          <w:sz w:val="28"/>
          <w:szCs w:val="28"/>
          <w:lang w:val="en-US"/>
        </w:rPr>
        <w:t>,</w:t>
      </w:r>
      <w:r w:rsidRPr="0068182D">
        <w:rPr>
          <w:rStyle w:val="apple-converted-space"/>
          <w:sz w:val="28"/>
          <w:szCs w:val="28"/>
          <w:lang w:val="en-US"/>
        </w:rPr>
        <w:t> </w:t>
      </w:r>
      <w:hyperlink r:id="rId379" w:tooltip="Science" w:history="1">
        <w:r w:rsidRPr="0068182D">
          <w:rPr>
            <w:rStyle w:val="a5"/>
            <w:color w:val="auto"/>
            <w:sz w:val="28"/>
            <w:szCs w:val="28"/>
            <w:u w:val="none"/>
            <w:lang w:val="en-US"/>
          </w:rPr>
          <w:t>science</w:t>
        </w:r>
      </w:hyperlink>
      <w:r w:rsidRPr="0068182D">
        <w:rPr>
          <w:sz w:val="28"/>
          <w:szCs w:val="28"/>
          <w:lang w:val="en-US"/>
        </w:rPr>
        <w:t>, and</w:t>
      </w:r>
      <w:r w:rsidRPr="0068182D">
        <w:rPr>
          <w:rStyle w:val="apple-converted-space"/>
          <w:sz w:val="28"/>
          <w:szCs w:val="28"/>
          <w:lang w:val="en-US"/>
        </w:rPr>
        <w:t> </w:t>
      </w:r>
      <w:hyperlink r:id="rId380" w:tooltip="Health care" w:history="1">
        <w:r w:rsidRPr="0068182D">
          <w:rPr>
            <w:rStyle w:val="a5"/>
            <w:color w:val="auto"/>
            <w:sz w:val="28"/>
            <w:szCs w:val="28"/>
            <w:u w:val="none"/>
            <w:lang w:val="en-US"/>
          </w:rPr>
          <w:t>health care</w:t>
        </w:r>
      </w:hyperlink>
      <w:r w:rsidRPr="0068182D">
        <w:rPr>
          <w:rStyle w:val="apple-converted-space"/>
          <w:sz w:val="28"/>
          <w:szCs w:val="28"/>
          <w:lang w:val="en-US"/>
        </w:rPr>
        <w:t> </w:t>
      </w:r>
      <w:r w:rsidRPr="0068182D">
        <w:rPr>
          <w:sz w:val="28"/>
          <w:szCs w:val="28"/>
          <w:lang w:val="en-US"/>
        </w:rPr>
        <w:t>(18%); capital</w:t>
      </w:r>
      <w:r w:rsidRPr="0068182D">
        <w:rPr>
          <w:rStyle w:val="apple-converted-space"/>
          <w:sz w:val="28"/>
          <w:szCs w:val="28"/>
          <w:lang w:val="en-US"/>
        </w:rPr>
        <w:t> </w:t>
      </w:r>
      <w:hyperlink r:id="rId381" w:tooltip="Construction" w:history="1">
        <w:r w:rsidRPr="0068182D">
          <w:rPr>
            <w:rStyle w:val="a5"/>
            <w:color w:val="auto"/>
            <w:sz w:val="28"/>
            <w:szCs w:val="28"/>
            <w:u w:val="none"/>
            <w:lang w:val="en-US"/>
          </w:rPr>
          <w:t>construction</w:t>
        </w:r>
      </w:hyperlink>
      <w:r w:rsidRPr="0068182D">
        <w:rPr>
          <w:rStyle w:val="apple-converted-space"/>
          <w:sz w:val="28"/>
          <w:szCs w:val="28"/>
          <w:lang w:val="en-US"/>
        </w:rPr>
        <w:t> </w:t>
      </w:r>
      <w:r w:rsidRPr="0068182D">
        <w:rPr>
          <w:sz w:val="28"/>
          <w:szCs w:val="28"/>
          <w:lang w:val="en-US"/>
        </w:rPr>
        <w:t>(12%);</w:t>
      </w:r>
      <w:r w:rsidRPr="0068182D">
        <w:rPr>
          <w:rStyle w:val="apple-converted-space"/>
          <w:sz w:val="28"/>
          <w:szCs w:val="28"/>
          <w:lang w:val="en-US"/>
        </w:rPr>
        <w:t> </w:t>
      </w:r>
      <w:hyperlink r:id="rId382" w:tooltip="Administration (government)" w:history="1">
        <w:r w:rsidRPr="0068182D">
          <w:rPr>
            <w:rStyle w:val="a5"/>
            <w:color w:val="auto"/>
            <w:sz w:val="28"/>
            <w:szCs w:val="28"/>
            <w:u w:val="none"/>
            <w:lang w:val="en-US"/>
          </w:rPr>
          <w:t>administration</w:t>
        </w:r>
      </w:hyperlink>
      <w:r w:rsidRPr="0068182D">
        <w:rPr>
          <w:rStyle w:val="apple-converted-space"/>
          <w:sz w:val="28"/>
          <w:szCs w:val="28"/>
          <w:lang w:val="en-US"/>
        </w:rPr>
        <w:t> </w:t>
      </w:r>
      <w:r w:rsidRPr="0068182D">
        <w:rPr>
          <w:sz w:val="28"/>
          <w:szCs w:val="28"/>
          <w:lang w:val="en-US"/>
        </w:rPr>
        <w:t>(14%);</w:t>
      </w:r>
      <w:r w:rsidRPr="0068182D">
        <w:rPr>
          <w:rStyle w:val="apple-converted-space"/>
          <w:sz w:val="28"/>
          <w:szCs w:val="28"/>
          <w:lang w:val="en-US"/>
        </w:rPr>
        <w:t> </w:t>
      </w:r>
      <w:hyperlink r:id="rId383" w:tooltip="Defense (military)" w:history="1">
        <w:r w:rsidRPr="0068182D">
          <w:rPr>
            <w:rStyle w:val="a5"/>
            <w:color w:val="auto"/>
            <w:sz w:val="28"/>
            <w:szCs w:val="28"/>
            <w:u w:val="none"/>
            <w:lang w:val="en-US"/>
          </w:rPr>
          <w:t>national defense</w:t>
        </w:r>
      </w:hyperlink>
      <w:r w:rsidRPr="0068182D">
        <w:rPr>
          <w:rStyle w:val="apple-converted-space"/>
          <w:sz w:val="28"/>
          <w:szCs w:val="28"/>
          <w:lang w:val="en-US"/>
        </w:rPr>
        <w:t> </w:t>
      </w:r>
      <w:r w:rsidRPr="0068182D">
        <w:rPr>
          <w:sz w:val="28"/>
          <w:szCs w:val="28"/>
          <w:lang w:val="en-US"/>
        </w:rPr>
        <w:t>(7.7%);</w:t>
      </w:r>
      <w:r w:rsidRPr="0068182D">
        <w:rPr>
          <w:rStyle w:val="apple-converted-space"/>
          <w:sz w:val="28"/>
          <w:szCs w:val="28"/>
          <w:lang w:val="en-US"/>
        </w:rPr>
        <w:t> </w:t>
      </w:r>
      <w:hyperlink r:id="rId384" w:tooltip="Agriculture" w:history="1">
        <w:r w:rsidRPr="0068182D">
          <w:rPr>
            <w:rStyle w:val="a5"/>
            <w:color w:val="auto"/>
            <w:sz w:val="28"/>
            <w:szCs w:val="28"/>
            <w:u w:val="none"/>
            <w:lang w:val="en-US"/>
          </w:rPr>
          <w:t>agriculture</w:t>
        </w:r>
      </w:hyperlink>
      <w:r w:rsidRPr="0068182D">
        <w:rPr>
          <w:sz w:val="28"/>
          <w:szCs w:val="28"/>
          <w:lang w:val="en-US"/>
        </w:rPr>
        <w:t>,</w:t>
      </w:r>
      <w:r w:rsidRPr="0068182D">
        <w:rPr>
          <w:rStyle w:val="apple-converted-space"/>
          <w:sz w:val="28"/>
          <w:szCs w:val="28"/>
          <w:lang w:val="en-US"/>
        </w:rPr>
        <w:t> </w:t>
      </w:r>
      <w:hyperlink r:id="rId385" w:tooltip="Forestry" w:history="1">
        <w:r w:rsidRPr="0068182D">
          <w:rPr>
            <w:rStyle w:val="a5"/>
            <w:color w:val="auto"/>
            <w:sz w:val="28"/>
            <w:szCs w:val="28"/>
            <w:u w:val="none"/>
            <w:lang w:val="en-US"/>
          </w:rPr>
          <w:t>forestry</w:t>
        </w:r>
      </w:hyperlink>
      <w:r w:rsidRPr="0068182D">
        <w:rPr>
          <w:sz w:val="28"/>
          <w:szCs w:val="28"/>
          <w:lang w:val="en-US"/>
        </w:rPr>
        <w:t>, and</w:t>
      </w:r>
      <w:r w:rsidRPr="0068182D">
        <w:rPr>
          <w:rStyle w:val="apple-converted-space"/>
          <w:sz w:val="28"/>
          <w:szCs w:val="28"/>
          <w:lang w:val="en-US"/>
        </w:rPr>
        <w:t> </w:t>
      </w:r>
      <w:hyperlink r:id="rId386" w:tooltip="Water conservation" w:history="1">
        <w:r w:rsidRPr="0068182D">
          <w:rPr>
            <w:rStyle w:val="a5"/>
            <w:color w:val="auto"/>
            <w:sz w:val="28"/>
            <w:szCs w:val="28"/>
            <w:u w:val="none"/>
            <w:lang w:val="en-US"/>
          </w:rPr>
          <w:t>water conservancy</w:t>
        </w:r>
      </w:hyperlink>
      <w:r w:rsidRPr="0068182D">
        <w:rPr>
          <w:rStyle w:val="apple-converted-space"/>
          <w:sz w:val="28"/>
          <w:szCs w:val="28"/>
          <w:lang w:val="en-US"/>
        </w:rPr>
        <w:t> </w:t>
      </w:r>
      <w:r w:rsidRPr="0068182D">
        <w:rPr>
          <w:sz w:val="28"/>
          <w:szCs w:val="28"/>
          <w:lang w:val="en-US"/>
        </w:rPr>
        <w:t>(5.9%);</w:t>
      </w:r>
      <w:r w:rsidRPr="0068182D">
        <w:rPr>
          <w:rStyle w:val="apple-converted-space"/>
          <w:sz w:val="28"/>
          <w:szCs w:val="28"/>
          <w:lang w:val="en-US"/>
        </w:rPr>
        <w:t> </w:t>
      </w:r>
      <w:hyperlink r:id="rId387" w:tooltip="Subsidy" w:history="1">
        <w:r w:rsidRPr="0068182D">
          <w:rPr>
            <w:rStyle w:val="a5"/>
            <w:color w:val="auto"/>
            <w:sz w:val="28"/>
            <w:szCs w:val="28"/>
            <w:u w:val="none"/>
            <w:lang w:val="en-US"/>
          </w:rPr>
          <w:t>subsidies</w:t>
        </w:r>
      </w:hyperlink>
      <w:r w:rsidRPr="0068182D">
        <w:rPr>
          <w:rStyle w:val="apple-converted-space"/>
          <w:sz w:val="28"/>
          <w:szCs w:val="28"/>
          <w:lang w:val="en-US"/>
        </w:rPr>
        <w:t> </w:t>
      </w:r>
      <w:r w:rsidRPr="0068182D">
        <w:rPr>
          <w:sz w:val="28"/>
          <w:szCs w:val="28"/>
          <w:lang w:val="en-US"/>
        </w:rPr>
        <w:t>to compensate for price increases (2.7%);</w:t>
      </w:r>
      <w:r w:rsidRPr="0068182D">
        <w:rPr>
          <w:rStyle w:val="apple-converted-space"/>
          <w:sz w:val="28"/>
          <w:szCs w:val="28"/>
          <w:lang w:val="en-US"/>
        </w:rPr>
        <w:t> </w:t>
      </w:r>
      <w:hyperlink r:id="rId388" w:tooltip="Pension" w:history="1">
        <w:r w:rsidRPr="0068182D">
          <w:rPr>
            <w:rStyle w:val="a5"/>
            <w:color w:val="auto"/>
            <w:sz w:val="28"/>
            <w:szCs w:val="28"/>
            <w:u w:val="none"/>
            <w:lang w:val="en-US"/>
          </w:rPr>
          <w:t>pensions</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389" w:tooltip="Social welfare provision" w:history="1">
        <w:r w:rsidRPr="0068182D">
          <w:rPr>
            <w:rStyle w:val="a5"/>
            <w:color w:val="auto"/>
            <w:sz w:val="28"/>
            <w:szCs w:val="28"/>
            <w:u w:val="none"/>
            <w:lang w:val="en-US"/>
          </w:rPr>
          <w:t>social welfare provisions</w:t>
        </w:r>
      </w:hyperlink>
      <w:r w:rsidRPr="0068182D">
        <w:rPr>
          <w:rStyle w:val="apple-converted-space"/>
          <w:sz w:val="28"/>
          <w:szCs w:val="28"/>
          <w:lang w:val="en-US"/>
        </w:rPr>
        <w:t> </w:t>
      </w:r>
      <w:r w:rsidRPr="0068182D">
        <w:rPr>
          <w:sz w:val="28"/>
          <w:szCs w:val="28"/>
          <w:lang w:val="en-US"/>
        </w:rPr>
        <w:t>(1.9%); promotion of</w:t>
      </w:r>
      <w:r w:rsidRPr="0068182D">
        <w:rPr>
          <w:rStyle w:val="apple-converted-space"/>
          <w:sz w:val="28"/>
          <w:szCs w:val="28"/>
          <w:lang w:val="en-US"/>
        </w:rPr>
        <w:t> </w:t>
      </w:r>
      <w:hyperlink r:id="rId390" w:tooltip="Innovation" w:history="1">
        <w:r w:rsidRPr="0068182D">
          <w:rPr>
            <w:rStyle w:val="a5"/>
            <w:color w:val="auto"/>
            <w:sz w:val="28"/>
            <w:szCs w:val="28"/>
            <w:u w:val="none"/>
            <w:lang w:val="en-US"/>
          </w:rPr>
          <w:t>innovation</w:t>
        </w:r>
      </w:hyperlink>
      <w:r w:rsidRPr="0068182D">
        <w:rPr>
          <w:sz w:val="28"/>
          <w:szCs w:val="28"/>
          <w:lang w:val="en-US"/>
        </w:rPr>
        <w:t>,</w:t>
      </w:r>
      <w:r w:rsidRPr="0068182D">
        <w:rPr>
          <w:rStyle w:val="apple-converted-space"/>
          <w:sz w:val="28"/>
          <w:szCs w:val="28"/>
          <w:lang w:val="en-US"/>
        </w:rPr>
        <w:t> </w:t>
      </w:r>
      <w:hyperlink r:id="rId391" w:tooltip="Science" w:history="1">
        <w:r w:rsidRPr="0068182D">
          <w:rPr>
            <w:rStyle w:val="a5"/>
            <w:color w:val="auto"/>
            <w:sz w:val="28"/>
            <w:szCs w:val="28"/>
            <w:u w:val="none"/>
            <w:lang w:val="en-US"/>
          </w:rPr>
          <w:t>science</w:t>
        </w:r>
      </w:hyperlink>
      <w:r w:rsidRPr="0068182D">
        <w:rPr>
          <w:sz w:val="28"/>
          <w:szCs w:val="28"/>
          <w:lang w:val="en-US"/>
        </w:rPr>
        <w:t>, and</w:t>
      </w:r>
      <w:r w:rsidRPr="0068182D">
        <w:rPr>
          <w:rStyle w:val="apple-converted-space"/>
          <w:sz w:val="28"/>
          <w:szCs w:val="28"/>
          <w:lang w:val="en-US"/>
        </w:rPr>
        <w:t> </w:t>
      </w:r>
      <w:hyperlink r:id="rId392" w:tooltip="Technology" w:history="1">
        <w:r w:rsidRPr="0068182D">
          <w:rPr>
            <w:rStyle w:val="a5"/>
            <w:color w:val="auto"/>
            <w:sz w:val="28"/>
            <w:szCs w:val="28"/>
            <w:u w:val="none"/>
            <w:lang w:val="en-US"/>
          </w:rPr>
          <w:t>technology</w:t>
        </w:r>
      </w:hyperlink>
      <w:r w:rsidRPr="0068182D">
        <w:rPr>
          <w:rStyle w:val="apple-converted-space"/>
          <w:sz w:val="28"/>
          <w:szCs w:val="28"/>
          <w:lang w:val="en-US"/>
        </w:rPr>
        <w:t> </w:t>
      </w:r>
      <w:r w:rsidRPr="0068182D">
        <w:rPr>
          <w:sz w:val="28"/>
          <w:szCs w:val="28"/>
          <w:lang w:val="en-US"/>
        </w:rPr>
        <w:t>(4.3%); operating expenses of</w:t>
      </w:r>
      <w:r w:rsidRPr="0068182D">
        <w:rPr>
          <w:rStyle w:val="apple-converted-space"/>
          <w:sz w:val="28"/>
          <w:szCs w:val="28"/>
          <w:lang w:val="en-US"/>
        </w:rPr>
        <w:t> </w:t>
      </w:r>
      <w:hyperlink r:id="rId393" w:tooltip="Industry" w:history="1">
        <w:r w:rsidRPr="0068182D">
          <w:rPr>
            <w:rStyle w:val="a5"/>
            <w:color w:val="auto"/>
            <w:sz w:val="28"/>
            <w:szCs w:val="28"/>
            <w:u w:val="none"/>
            <w:lang w:val="en-US"/>
          </w:rPr>
          <w:t>industry</w:t>
        </w:r>
      </w:hyperlink>
      <w:r w:rsidRPr="0068182D">
        <w:rPr>
          <w:sz w:val="28"/>
          <w:szCs w:val="28"/>
          <w:lang w:val="en-US"/>
        </w:rPr>
        <w:t>,</w:t>
      </w:r>
      <w:r w:rsidRPr="0068182D">
        <w:rPr>
          <w:rStyle w:val="apple-converted-space"/>
          <w:sz w:val="28"/>
          <w:szCs w:val="28"/>
          <w:lang w:val="en-US"/>
        </w:rPr>
        <w:t> </w:t>
      </w:r>
      <w:hyperlink r:id="rId394" w:tooltip="Transport" w:history="1">
        <w:r w:rsidRPr="0068182D">
          <w:rPr>
            <w:rStyle w:val="a5"/>
            <w:color w:val="auto"/>
            <w:sz w:val="28"/>
            <w:szCs w:val="28"/>
            <w:u w:val="none"/>
            <w:lang w:val="en-US"/>
          </w:rPr>
          <w:t>transport</w:t>
        </w:r>
      </w:hyperlink>
      <w:r w:rsidRPr="0068182D">
        <w:rPr>
          <w:sz w:val="28"/>
          <w:szCs w:val="28"/>
          <w:lang w:val="en-US"/>
        </w:rPr>
        <w:t>, and</w:t>
      </w:r>
      <w:r w:rsidRPr="0068182D">
        <w:rPr>
          <w:rStyle w:val="apple-converted-space"/>
          <w:sz w:val="28"/>
          <w:szCs w:val="28"/>
          <w:lang w:val="en-US"/>
        </w:rPr>
        <w:t> </w:t>
      </w:r>
      <w:hyperlink r:id="rId395" w:tooltip="Commerce" w:history="1">
        <w:r w:rsidRPr="0068182D">
          <w:rPr>
            <w:rStyle w:val="a5"/>
            <w:color w:val="auto"/>
            <w:sz w:val="28"/>
            <w:szCs w:val="28"/>
            <w:u w:val="none"/>
            <w:lang w:val="en-US"/>
          </w:rPr>
          <w:t>commerce</w:t>
        </w:r>
      </w:hyperlink>
      <w:r w:rsidRPr="0068182D">
        <w:rPr>
          <w:rStyle w:val="apple-converted-space"/>
          <w:sz w:val="28"/>
          <w:szCs w:val="28"/>
          <w:lang w:val="en-US"/>
        </w:rPr>
        <w:t> </w:t>
      </w:r>
      <w:r w:rsidRPr="0068182D">
        <w:rPr>
          <w:sz w:val="28"/>
          <w:szCs w:val="28"/>
          <w:lang w:val="en-US"/>
        </w:rPr>
        <w:t>(1.2%);</w:t>
      </w:r>
      <w:r w:rsidRPr="0068182D">
        <w:rPr>
          <w:rStyle w:val="apple-converted-space"/>
          <w:sz w:val="28"/>
          <w:szCs w:val="28"/>
          <w:lang w:val="en-US"/>
        </w:rPr>
        <w:t> </w:t>
      </w:r>
      <w:hyperlink r:id="rId396" w:tooltip="Geology" w:history="1">
        <w:r w:rsidRPr="0068182D">
          <w:rPr>
            <w:rStyle w:val="a5"/>
            <w:color w:val="auto"/>
            <w:sz w:val="28"/>
            <w:szCs w:val="28"/>
            <w:u w:val="none"/>
            <w:lang w:val="en-US"/>
          </w:rPr>
          <w:t>geological</w:t>
        </w:r>
      </w:hyperlink>
      <w:r w:rsidRPr="0068182D">
        <w:rPr>
          <w:rStyle w:val="apple-converted-space"/>
          <w:sz w:val="28"/>
          <w:szCs w:val="28"/>
          <w:lang w:val="en-US"/>
        </w:rPr>
        <w:t> </w:t>
      </w:r>
      <w:hyperlink r:id="rId397" w:tooltip="Prospecting" w:history="1">
        <w:r w:rsidRPr="0068182D">
          <w:rPr>
            <w:rStyle w:val="a5"/>
            <w:color w:val="auto"/>
            <w:sz w:val="28"/>
            <w:szCs w:val="28"/>
            <w:u w:val="none"/>
            <w:lang w:val="en-US"/>
          </w:rPr>
          <w:t>prospecting</w:t>
        </w:r>
      </w:hyperlink>
      <w:r w:rsidRPr="0068182D">
        <w:rPr>
          <w:rStyle w:val="apple-converted-space"/>
          <w:sz w:val="28"/>
          <w:szCs w:val="28"/>
          <w:lang w:val="en-US"/>
        </w:rPr>
        <w:t> </w:t>
      </w:r>
      <w:r w:rsidRPr="0068182D">
        <w:rPr>
          <w:sz w:val="28"/>
          <w:szCs w:val="28"/>
          <w:lang w:val="en-US"/>
        </w:rPr>
        <w:t>(0.4%), and other (31.9%).</w:t>
      </w:r>
    </w:p>
    <w:p w:rsidR="004379E3" w:rsidRPr="0068182D" w:rsidRDefault="004379E3" w:rsidP="00C40532">
      <w:pPr>
        <w:pStyle w:val="2"/>
        <w:shd w:val="clear" w:color="auto" w:fill="FFFFFF"/>
        <w:spacing w:before="0" w:beforeAutospacing="0" w:after="0" w:afterAutospacing="0"/>
        <w:ind w:firstLine="567"/>
        <w:jc w:val="both"/>
        <w:rPr>
          <w:b w:val="0"/>
          <w:bCs w:val="0"/>
          <w:sz w:val="28"/>
          <w:szCs w:val="28"/>
          <w:lang w:val="en-US"/>
        </w:rPr>
      </w:pPr>
      <w:r w:rsidRPr="0068182D">
        <w:rPr>
          <w:b w:val="0"/>
          <w:bCs w:val="0"/>
          <w:sz w:val="28"/>
          <w:szCs w:val="28"/>
          <w:lang w:val="en-US"/>
        </w:rPr>
        <w:t>China recorded a Government Budget deficit equal to 3.80 percent of the country's Gross Domestic Product in 2016. Government Budget in China averaged -2.03 percent of GDP from 1988 until 2016, reaching an all time high of 0.58 percent of GDP in 2007 and a record low of -3.80 percent of GDP in 2016.</w:t>
      </w:r>
    </w:p>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6046084" cy="3379026"/>
            <wp:effectExtent l="19050" t="0" r="0" b="0"/>
            <wp:docPr id="7" name="Рисунок 4" descr="China Government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ina Government Budget"/>
                    <pic:cNvPicPr>
                      <a:picLocks noChangeAspect="1" noChangeArrowheads="1"/>
                    </pic:cNvPicPr>
                  </pic:nvPicPr>
                  <pic:blipFill>
                    <a:blip r:embed="rId398" cstate="print"/>
                    <a:srcRect/>
                    <a:stretch>
                      <a:fillRect/>
                    </a:stretch>
                  </pic:blipFill>
                  <pic:spPr bwMode="auto">
                    <a:xfrm>
                      <a:off x="0" y="0"/>
                      <a:ext cx="6047482" cy="3379808"/>
                    </a:xfrm>
                    <a:prstGeom prst="rect">
                      <a:avLst/>
                    </a:prstGeom>
                    <a:noFill/>
                    <a:ln w="9525">
                      <a:noFill/>
                      <a:miter lim="800000"/>
                      <a:headEnd/>
                      <a:tailEnd/>
                    </a:ln>
                  </pic:spPr>
                </pic:pic>
              </a:graphicData>
            </a:graphic>
          </wp:inline>
        </w:drawing>
      </w:r>
    </w:p>
    <w:p w:rsidR="004379E3" w:rsidRPr="0068182D" w:rsidRDefault="004379E3" w:rsidP="00C40532">
      <w:pPr>
        <w:pStyle w:val="2"/>
        <w:shd w:val="clear" w:color="auto" w:fill="FFFFFF"/>
        <w:spacing w:before="0" w:beforeAutospacing="0" w:after="0" w:afterAutospacing="0"/>
        <w:ind w:firstLine="567"/>
        <w:jc w:val="both"/>
        <w:rPr>
          <w:b w:val="0"/>
          <w:bCs w:val="0"/>
          <w:sz w:val="28"/>
          <w:szCs w:val="28"/>
        </w:rPr>
      </w:pPr>
    </w:p>
    <w:p w:rsidR="004379E3" w:rsidRPr="0068182D" w:rsidRDefault="004379E3" w:rsidP="00C40532">
      <w:pPr>
        <w:pStyle w:val="2"/>
        <w:shd w:val="clear" w:color="auto" w:fill="FFFFFF"/>
        <w:spacing w:before="0" w:beforeAutospacing="0" w:after="0" w:afterAutospacing="0"/>
        <w:ind w:firstLine="567"/>
        <w:jc w:val="both"/>
        <w:rPr>
          <w:b w:val="0"/>
          <w:bCs w:val="0"/>
          <w:sz w:val="28"/>
          <w:szCs w:val="28"/>
        </w:rPr>
      </w:pPr>
    </w:p>
    <w:p w:rsidR="004379E3" w:rsidRPr="0068182D" w:rsidRDefault="004379E3" w:rsidP="00C40532">
      <w:pPr>
        <w:pStyle w:val="2"/>
        <w:shd w:val="clear" w:color="auto" w:fill="FFFFFF"/>
        <w:spacing w:before="0" w:beforeAutospacing="0" w:after="0" w:afterAutospacing="0"/>
        <w:ind w:firstLine="567"/>
        <w:jc w:val="both"/>
        <w:rPr>
          <w:b w:val="0"/>
          <w:bCs w:val="0"/>
          <w:sz w:val="28"/>
          <w:szCs w:val="28"/>
          <w:lang w:val="en-US"/>
        </w:rPr>
      </w:pPr>
      <w:r w:rsidRPr="0068182D">
        <w:rPr>
          <w:b w:val="0"/>
          <w:bCs w:val="0"/>
          <w:sz w:val="28"/>
          <w:szCs w:val="28"/>
          <w:lang w:val="en-US"/>
        </w:rPr>
        <w:t>China recorded a government budget surplus of 321.27 CNY HML in February of 2017. Government Budget Value in China averaged -359.67 CNY HML from 1990 until 2017, reaching an all time high of 8066.64 CNY HML in January of 2015 and a record low of -15554.19 CNY HML in December of 2013.</w:t>
      </w:r>
    </w:p>
    <w:p w:rsidR="004379E3" w:rsidRPr="0068182D" w:rsidRDefault="004379E3" w:rsidP="00C40532">
      <w:pPr>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6136318" cy="3287210"/>
            <wp:effectExtent l="19050" t="0" r="0" b="0"/>
            <wp:docPr id="8" name="Рисунок 7" descr="China Government Budget 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ina Government Budget Value"/>
                    <pic:cNvPicPr>
                      <a:picLocks noChangeAspect="1" noChangeArrowheads="1"/>
                    </pic:cNvPicPr>
                  </pic:nvPicPr>
                  <pic:blipFill>
                    <a:blip r:embed="rId399" cstate="print"/>
                    <a:srcRect/>
                    <a:stretch>
                      <a:fillRect/>
                    </a:stretch>
                  </pic:blipFill>
                  <pic:spPr bwMode="auto">
                    <a:xfrm>
                      <a:off x="0" y="0"/>
                      <a:ext cx="6139269" cy="3288791"/>
                    </a:xfrm>
                    <a:prstGeom prst="rect">
                      <a:avLst/>
                    </a:prstGeom>
                    <a:noFill/>
                    <a:ln w="9525">
                      <a:noFill/>
                      <a:miter lim="800000"/>
                      <a:headEnd/>
                      <a:tailEnd/>
                    </a:ln>
                  </pic:spPr>
                </pic:pic>
              </a:graphicData>
            </a:graphic>
          </wp:inline>
        </w:drawing>
      </w:r>
    </w:p>
    <w:p w:rsidR="004379E3" w:rsidRPr="0068182D" w:rsidRDefault="004379E3" w:rsidP="00C40532">
      <w:pPr>
        <w:pStyle w:val="2"/>
        <w:shd w:val="clear" w:color="auto" w:fill="FFFFFF"/>
        <w:spacing w:before="0" w:beforeAutospacing="0" w:after="0" w:afterAutospacing="0"/>
        <w:ind w:firstLine="567"/>
        <w:jc w:val="both"/>
        <w:rPr>
          <w:b w:val="0"/>
          <w:bCs w:val="0"/>
          <w:sz w:val="28"/>
          <w:szCs w:val="28"/>
        </w:rPr>
      </w:pPr>
    </w:p>
    <w:p w:rsidR="004379E3" w:rsidRPr="0068182D" w:rsidRDefault="004379E3" w:rsidP="00C40532">
      <w:pPr>
        <w:pStyle w:val="2"/>
        <w:shd w:val="clear" w:color="auto" w:fill="FFFFFF"/>
        <w:spacing w:before="0" w:beforeAutospacing="0" w:after="0" w:afterAutospacing="0"/>
        <w:ind w:firstLine="567"/>
        <w:jc w:val="both"/>
        <w:rPr>
          <w:b w:val="0"/>
          <w:bCs w:val="0"/>
          <w:sz w:val="28"/>
          <w:szCs w:val="28"/>
          <w:lang w:val="en-US"/>
        </w:rPr>
      </w:pPr>
      <w:r w:rsidRPr="0068182D">
        <w:rPr>
          <w:b w:val="0"/>
          <w:bCs w:val="0"/>
          <w:sz w:val="28"/>
          <w:szCs w:val="28"/>
          <w:lang w:val="en-US"/>
        </w:rPr>
        <w:t>China recorded a government debt equivalent to 43.90 percent of the country's Gross Domestic Product in 2015. Government Debt to GDP in China averaged 34.36 percent from 1995 until 2015, reaching an all time high of 43.90 percent in 2015 and a record low of 20.50 percent in 1997.</w:t>
      </w:r>
    </w:p>
    <w:p w:rsidR="004379E3" w:rsidRPr="0068182D" w:rsidRDefault="004379E3" w:rsidP="00C40532">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noProof/>
          <w:sz w:val="28"/>
          <w:szCs w:val="28"/>
        </w:rPr>
        <w:drawing>
          <wp:inline distT="0" distB="0" distL="0" distR="0">
            <wp:extent cx="6046084" cy="3217018"/>
            <wp:effectExtent l="19050" t="0" r="0" b="0"/>
            <wp:docPr id="10" name="Рисунок 10" descr="China Government Debt to G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hina Government Debt to GDP"/>
                    <pic:cNvPicPr>
                      <a:picLocks noChangeAspect="1" noChangeArrowheads="1"/>
                    </pic:cNvPicPr>
                  </pic:nvPicPr>
                  <pic:blipFill>
                    <a:blip r:embed="rId400" cstate="print"/>
                    <a:srcRect/>
                    <a:stretch>
                      <a:fillRect/>
                    </a:stretch>
                  </pic:blipFill>
                  <pic:spPr bwMode="auto">
                    <a:xfrm>
                      <a:off x="0" y="0"/>
                      <a:ext cx="6047482" cy="3217762"/>
                    </a:xfrm>
                    <a:prstGeom prst="rect">
                      <a:avLst/>
                    </a:prstGeom>
                    <a:noFill/>
                    <a:ln w="9525">
                      <a:noFill/>
                      <a:miter lim="800000"/>
                      <a:headEnd/>
                      <a:tailEnd/>
                    </a:ln>
                  </pic:spPr>
                </pic:pic>
              </a:graphicData>
            </a:graphic>
          </wp:inline>
        </w:drawing>
      </w:r>
    </w:p>
    <w:p w:rsidR="004379E3" w:rsidRPr="0068182D" w:rsidRDefault="004379E3" w:rsidP="00C40532">
      <w:pPr>
        <w:spacing w:after="0" w:line="240" w:lineRule="auto"/>
        <w:ind w:firstLine="567"/>
        <w:jc w:val="both"/>
        <w:rPr>
          <w:rFonts w:ascii="Times New Roman" w:hAnsi="Times New Roman" w:cs="Times New Roman"/>
          <w:sz w:val="28"/>
          <w:szCs w:val="28"/>
          <w:lang w:val="en-US"/>
        </w:rPr>
      </w:pPr>
    </w:p>
    <w:p w:rsidR="004379E3" w:rsidRPr="0068182D" w:rsidRDefault="004379E3" w:rsidP="00C40532">
      <w:pPr>
        <w:tabs>
          <w:tab w:val="left" w:pos="180"/>
        </w:tabs>
        <w:spacing w:after="0" w:line="240" w:lineRule="auto"/>
        <w:ind w:firstLine="567"/>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4.</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Revenues and expenditures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the central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China</w:t>
      </w:r>
      <w:r w:rsidRPr="0068182D">
        <w:rPr>
          <w:rFonts w:ascii="Times New Roman" w:hAnsi="Times New Roman" w:cs="Times New Roman"/>
          <w:b/>
          <w:sz w:val="28"/>
          <w:szCs w:val="28"/>
          <w:lang w:val="en-US"/>
        </w:rPr>
        <w:t>.</w:t>
      </w:r>
    </w:p>
    <w:p w:rsidR="004379E3" w:rsidRPr="0068182D" w:rsidRDefault="004379E3" w:rsidP="00C40532">
      <w:pPr>
        <w:pStyle w:val="2"/>
        <w:shd w:val="clear" w:color="auto" w:fill="FFFFFF"/>
        <w:spacing w:before="0" w:beforeAutospacing="0" w:after="0" w:afterAutospacing="0"/>
        <w:ind w:firstLine="567"/>
        <w:jc w:val="both"/>
        <w:rPr>
          <w:b w:val="0"/>
          <w:bCs w:val="0"/>
          <w:sz w:val="28"/>
          <w:szCs w:val="28"/>
          <w:lang w:val="en-US"/>
        </w:rPr>
      </w:pPr>
      <w:r w:rsidRPr="0068182D">
        <w:rPr>
          <w:b w:val="0"/>
          <w:bCs w:val="0"/>
          <w:sz w:val="28"/>
          <w:szCs w:val="28"/>
          <w:lang w:val="en-US"/>
        </w:rPr>
        <w:t>Government Revenues in China decreased to 11245.91 CNY HML in February from 20208.09 CNY HML in January of 2017. Government Revenues in China averaged 4073.09 CNY HML from 1990 until 2017, reaching an all time high of 20208.09 CNY HML in January of 2017 and a record low of 138.36 CNY HML in January of 1990.</w:t>
      </w:r>
    </w:p>
    <w:p w:rsidR="004379E3" w:rsidRPr="0068182D" w:rsidRDefault="004379E3" w:rsidP="00C40532">
      <w:pPr>
        <w:tabs>
          <w:tab w:val="left" w:pos="180"/>
        </w:tabs>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6069233" cy="3610467"/>
            <wp:effectExtent l="19050" t="0" r="7717" b="0"/>
            <wp:docPr id="9" name="Рисунок 1" descr="China Government Reven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na Government Revenues"/>
                    <pic:cNvPicPr>
                      <a:picLocks noChangeAspect="1" noChangeArrowheads="1"/>
                    </pic:cNvPicPr>
                  </pic:nvPicPr>
                  <pic:blipFill>
                    <a:blip r:embed="rId401" cstate="print"/>
                    <a:srcRect/>
                    <a:stretch>
                      <a:fillRect/>
                    </a:stretch>
                  </pic:blipFill>
                  <pic:spPr bwMode="auto">
                    <a:xfrm>
                      <a:off x="0" y="0"/>
                      <a:ext cx="6070635" cy="3611301"/>
                    </a:xfrm>
                    <a:prstGeom prst="rect">
                      <a:avLst/>
                    </a:prstGeom>
                    <a:noFill/>
                    <a:ln w="9525">
                      <a:noFill/>
                      <a:miter lim="800000"/>
                      <a:headEnd/>
                      <a:tailEnd/>
                    </a:ln>
                  </pic:spPr>
                </pic:pic>
              </a:graphicData>
            </a:graphic>
          </wp:inline>
        </w:drawing>
      </w:r>
    </w:p>
    <w:p w:rsidR="004379E3" w:rsidRPr="0068182D" w:rsidRDefault="004379E3" w:rsidP="00C40532">
      <w:pPr>
        <w:tabs>
          <w:tab w:val="left" w:pos="180"/>
        </w:tabs>
        <w:spacing w:after="0" w:line="240" w:lineRule="auto"/>
        <w:ind w:firstLine="567"/>
        <w:jc w:val="both"/>
        <w:rPr>
          <w:rFonts w:ascii="Times New Roman" w:hAnsi="Times New Roman" w:cs="Times New Roman"/>
          <w:sz w:val="28"/>
          <w:szCs w:val="28"/>
        </w:rPr>
      </w:pPr>
    </w:p>
    <w:p w:rsidR="004379E3" w:rsidRPr="0068182D" w:rsidRDefault="004379E3" w:rsidP="00C40532">
      <w:pPr>
        <w:tabs>
          <w:tab w:val="left" w:pos="180"/>
        </w:tabs>
        <w:spacing w:after="0" w:line="240" w:lineRule="auto"/>
        <w:ind w:firstLine="567"/>
        <w:jc w:val="both"/>
        <w:rPr>
          <w:rFonts w:ascii="Times New Roman" w:hAnsi="Times New Roman" w:cs="Times New Roman"/>
          <w:sz w:val="28"/>
          <w:szCs w:val="28"/>
          <w:lang w:val="en-US"/>
        </w:rPr>
      </w:pPr>
    </w:p>
    <w:p w:rsidR="004379E3" w:rsidRPr="0068182D" w:rsidRDefault="004379E3" w:rsidP="00C40532">
      <w:pPr>
        <w:pStyle w:val="2"/>
        <w:shd w:val="clear" w:color="auto" w:fill="FFFFFF"/>
        <w:spacing w:before="0" w:beforeAutospacing="0" w:after="0" w:afterAutospacing="0"/>
        <w:ind w:firstLine="567"/>
        <w:jc w:val="both"/>
        <w:rPr>
          <w:b w:val="0"/>
          <w:bCs w:val="0"/>
          <w:sz w:val="28"/>
          <w:szCs w:val="28"/>
          <w:lang w:val="en-US"/>
        </w:rPr>
      </w:pPr>
      <w:r w:rsidRPr="0068182D">
        <w:rPr>
          <w:b w:val="0"/>
          <w:bCs w:val="0"/>
          <w:sz w:val="28"/>
          <w:szCs w:val="28"/>
          <w:lang w:val="en-US"/>
        </w:rPr>
        <w:t>Government Spending in China increased to 187841 CNY HML in 2016 from 175768 CNY HML in 2015. Government Spending in China averaged 21735.46 CNY HML from 1950 until 2016, reaching an all time high of 187841 CNY HML in 2016 and a record low of 68.10 CNY HML in 1950.</w:t>
      </w:r>
    </w:p>
    <w:p w:rsidR="004379E3" w:rsidRPr="0068182D" w:rsidRDefault="004379E3" w:rsidP="00C40532">
      <w:pPr>
        <w:tabs>
          <w:tab w:val="left" w:pos="180"/>
        </w:tabs>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noProof/>
          <w:sz w:val="28"/>
          <w:szCs w:val="28"/>
        </w:rPr>
        <w:drawing>
          <wp:inline distT="0" distB="0" distL="0" distR="0">
            <wp:extent cx="5940425" cy="2767680"/>
            <wp:effectExtent l="19050" t="0" r="3175" b="0"/>
            <wp:docPr id="13" name="Рисунок 13" descr="China Government Spe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ina Government Spending"/>
                    <pic:cNvPicPr>
                      <a:picLocks noChangeAspect="1" noChangeArrowheads="1"/>
                    </pic:cNvPicPr>
                  </pic:nvPicPr>
                  <pic:blipFill>
                    <a:blip r:embed="rId402" cstate="print"/>
                    <a:srcRect/>
                    <a:stretch>
                      <a:fillRect/>
                    </a:stretch>
                  </pic:blipFill>
                  <pic:spPr bwMode="auto">
                    <a:xfrm>
                      <a:off x="0" y="0"/>
                      <a:ext cx="5940425" cy="2767680"/>
                    </a:xfrm>
                    <a:prstGeom prst="rect">
                      <a:avLst/>
                    </a:prstGeom>
                    <a:noFill/>
                    <a:ln w="9525">
                      <a:noFill/>
                      <a:miter lim="800000"/>
                      <a:headEnd/>
                      <a:tailEnd/>
                    </a:ln>
                  </pic:spPr>
                </pic:pic>
              </a:graphicData>
            </a:graphic>
          </wp:inline>
        </w:drawing>
      </w:r>
    </w:p>
    <w:p w:rsidR="004379E3" w:rsidRPr="0068182D" w:rsidRDefault="004379E3" w:rsidP="00C40532">
      <w:pPr>
        <w:spacing w:after="0" w:line="240" w:lineRule="auto"/>
        <w:ind w:firstLine="567"/>
        <w:jc w:val="both"/>
        <w:rPr>
          <w:rStyle w:val="hps"/>
          <w:rFonts w:ascii="Times New Roman" w:hAnsi="Times New Roman" w:cs="Times New Roman"/>
          <w:sz w:val="28"/>
          <w:szCs w:val="28"/>
        </w:rPr>
      </w:pP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Budgetary revenue and expenditures in 2016</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General public budgets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Revenue in China's general public budgets reached 15.955208 trillion yuan, representing 101.5 percent of the budgeted figure and an increase of 4.5 percent over 2015, after allowing for, among other things, the inclusion into general public budgets of five government-managed funds. Adding in the 727.108 billion yuan of utilized carryover and surplus funds, plus funds from other sources, this revenue totaled 16.682316 trillion yuan.</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Expenditures in China's general public budgets reached 18.784114 trillion yuan, representing 103.9 percent of the budgeted figure and an increase of 7.4 percent after deducting local governments' utilized carryover and surplus funds and funds from other sources. Including the 78.202 billion yuan used to replenish the Central Budget Stabilization Fund, these expenditures totaled 18.862316 trillion yuan. Expenditures therefore exceeded revenue, leaving a deficit of 2.18 trillion yuan, which is the same as the budgeted figure.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Revenue in the central government's general public budget reached 7.235731 trillion yuan, representing 100 percent of the adjusted budgeted figure and an increase of 1.2 percent over 2015. Adding in the 100 billion yuan contributed by the Central Budget Stabilization Fund and the 31.506 billion yuan from the budgets of central government-managed funds and central government state capital operations, this revenue totaled 7.367237 trillion yuan.</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Expenditures in the central government's general public budget amounted to 8.689035 trillion yuan (this consists of 2.7404 trillion yuan in central government expenditures and 5.948635 trillion yuan in tax rebates and transfer payments from the central to local governments), representing 99.1 percent of the adjusted budgeted figure and an increase of 4.5 percent. Adding in the 78.202 billion yuan contributed to the Central Budget Stabilization Fund, these expenditures totaled 8.767237 trillion yuan. They exceeded revenue, leaving a deficit of 1.4 trillion yuan, which is the same as the budgeted figure. Central government reserve funds budgeted for 2016 were 50 billion yuan; of this, actual expenditures accounted for 14.61 billion yuan, and the remaining 35.39 billion yuan was transferred in full to the Central Budget Stabilization Fund. At year end 2016, outstanding central government debt was 12.006675 trillion yuan, well within the budgeted 12.590835 trillion yuan limit. The Central Budget Stabilization Fund had a balance of 267.806 billion yuan, including 150.183 billion yuan in recovered central government carryover funds.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Revenue in local government general public budgets reached 14.668112 trillion yuan. This figure consists of 8.719477 trillion yuan in local government revenue, an increase of 7.4 percent over 2015, and 5.948635 trillion yuan in central government tax rebates and transfer payments to local governments. Adding in the additional 595.602 billion yuan of utilized carryover and surplus funds and funds from other sources, this revenue totaled 15.263714 trillion yuan. Expenditures in local government general public budgets totaled 16.043714 trillion yuan, representing an increase of 7.4 percent after deducting utilized carryover and surplus funds and funds from other sources. Total expenditures exceeded total revenue, leaving a local government deficit of 780 billion yuan, which is the same as the budgeted figure.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Implementation of main policies regarding expenditures in 2016</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Education</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established a unified benchmark for public funding per student in China's compulsory education schools. Eligible students from families with financial difficulties at regular senior secondary schools were exempted from tuition and miscellaneous fees. We funded improvements to basic conditions in more than 80,000 badly built or poorly operated schools providing compulsory education in poor areas. We established a funding system for secondary vocational schools based on student enrollment. We implemented a new budgetary appropriation system for institutions of higher learning directly under the central government. State financial assistance was granted to over 84 million students over the course of last year.</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Scientific and technological innovation</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improved the structure of science and technology expenditures, giving high priority to funding science and technology activities for the public interest, and increasing funding for basic research. We finished improving central government plans, special programs, and funds for funding scientific and technological advancements. We improved the mechanism ensuring stable funding for the reform and development of research institutions. We funded both systematic pilot reforms focused on all-around innovation and the development of national innovation demonstration zones. We funded efforts to promote the transfer and commercialization of scientific and technological achievements.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Social security</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Basic pension benefits for the retirees of enterprises, Party and government offices, and public institutions were increased by around 6.5 percent. We funded pilot reforms to develop at-home and community-based elderly care. Subsistence allowances for Chinese citizens were increased. We moved forward with the establishment of a sound system for providing assistance to people living in extreme poverty. We worked to ensure entitled groups received their benefits. Support was ensured for the proper settlement of demobilized military personnel. A system was put in place nationwide for granting living allowances to people with disabilities in financial difficulty and nursing subsidies to people with serious disabilities. We provided subsidies for social security programs and vocational training to encourage enterprises to employ those experiencing employment difficulties, to help workers improve their vocational skills, and to provide better public employment services.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Reform of the medical and health care system</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Annual government subsidies for basic medical insurance for rural and non-working urban residents were increased from 380 to 420 yuan per person. Pilot reforms of urban public hospitals were expanded to 200 cities and reforms were carried out in all county-level public hospitals. We funded the standardized training of 190,000 resident physicians and the first batch of 5,000 assistant general practitioners. Per capita government spending on basic public health services was raised from 40 to 45 yuan per year. We continued to fund major public health service projects to, among other things, prevent and control diseases and provide maternal and child care.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Modern agriculture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provided direct subsidies to grain growers, subsidies for purchasing superior crop varieties, and general subsidies for the purchase of agricultural supplies nationwide. We subsidized trials to shift from growing grain crops to producing soybeans on 333,300 hectares of farmland and from growing grain crops to cultivating feed crops on 400,000 hectares of cultivated land. We also subsidized trials in using systems of crop rotation and fallow land. More funds were made available for trials to restore cultivated land contaminated by heavy metals and adjust the agricultural production mix, as well as trials to deal comprehensively with the over-abstraction of groundwater in more areas.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deepened reform of the purchase and storage system for important agricultural products. The policy on the temporary purchasing and stockpiling of corn was scrapped in favor of a new mechanism for purchasing corn at market prices plus subsidies, and a system was established for subsidizing corn production. We adopted a broad range of measures to reduce excess policy-supported stockpiles of grain, cotton, and edible oil. We provided support for the initiatives to foster new agricultural operational systems. Thanks to government funding, the area of cropland covered by efficient water-saving irrigation was increased by 1.33 million hectares, and efforts toward comprehensive agricultural development saw the addition of 1.87 million hectares of high-grade cropland. We financed the extension of trials to integrate the development of primary, secondary, and tertiary industries to more rural areas, and to support the development of collective village enterprises. Around 300,000 village-level public works projects launched on the basis of decision making by villagers were completed using government awards and subsidies.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Ecological conservation</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Funds for the prevention and control of soil pollution were launched, and funding was made available for implementing the action plan for addressing soil pollution. We allocated more funds for addressing air pollution, with the focus on tackling key areas such as pollution from coal burning and industrial pollution. We continued to develop a reserve of projects for addressing water pollution, making additional funding available for the prevention and control of water pollution in key areas and major drainage basins. We launched a new round of policies to subsidize and reward grassland ecological conservation, covering 254.07 million hectares of grassland. We provided financial support for implementation of a new round of initiatives to turn a further 1.01 million hectares of marginal farmland into forest or grassland. We funded the implementation of the protective policies for all natural forests nationwide. We made funding available for four pilot projects for ecological conservation and restoration including the Beijing-Tianjin-Hebei Water Source Conservation Area in Hebei Province. Funding was also made available for the establishment of mechanisms for trans-regional and intra-watershed compensation for ecological conservation efforts in four drainage basins including the Jiuzhoujiang River, and for action in the Blue Bay environmental improvement initiative in 18 cities.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Government support for basic housing</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funded the rebuilding of 6.06 million housing units in rundown urban areas and 3.14 million dilapidated rural houses, meeting the targets for the year for both programs. The proportion of people displaced through such programs who received monetary housing compensation rather than housing reached 48.5 percent, up 18.6 percentage points over the previous year.</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Reform and development in the cultural sector</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subsidized efforts to keep 49,871 public cultural facilities free to the public and make 1,260 public sports complexes free or inexpensive to public users. We also funded 1,791 programs to protect key national cultural relics. Support was given to encourage the creation and production of cultural products, facilitate cultural exchange with foreign countries, share Chinese culture globally, reform state-owned cultural enterprises directly under the central government, and promote the coordinated development of cultural programs and industries.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For a more detailed account of budget execution related to the above items, please refer to the Report on the Execution of the 2016 Budgets of the People's Republic of China and Its 2017 Draft Budgets in Chinese.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Overall, our fiscal operations in 2016 remained stable and achievements were made in the reform and development of public finance, which gave impetus to steady and sound economic and social development. We owe these achievements to the leadership of the CPC Central Committee and the State Council; to the oversight and guidance of the NPC, deputies to the NPC, the CPPCC National Committee and its members; and to the joint efforts of all regions, government departments, and the Chinese people.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On the other hand, we are soberly aware of the following main difficulties and problems in our fiscal operations and finance work.</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Within the context of considerable downward pressure on China's economy, there is a lack of impetus for government revenue growth and the growth prospects of local government revenue are mixed; imbalances in government revenue and expenditures are becoming more pronounced in some regions that are resource-dependent or whose traditional industries have a large share in their respective economies; and some township-level governments are having financial difficulty in keeping themselves operating and meeting people's basic needs.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The structure of budgetary spending is not balanced, with spending on some items constantly increasing.</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Some reform measures have not truly been implemented as they should while for others progress has been slow.</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The management of transfer payments is in urgent need of standardization as special transfer payments have yet to be overhauled to full effect, and progress in the reform of the transfer payment systems at and below the provincial level has been patchy.</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In some localities, budgets and final accounts lack transparency, the use of government funds is not in line with standards and ineffective, and more funds are becoming idle.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Some localities are weak on government debt management and are guarantying debt or making borrowings in breach of regulations, thus increasing the hidden debt-related risks of local governments.</w:t>
      </w:r>
    </w:p>
    <w:p w:rsidR="004379E3" w:rsidRPr="0068182D" w:rsidRDefault="004379E3" w:rsidP="00C40532">
      <w:pPr>
        <w:spacing w:after="0" w:line="240" w:lineRule="auto"/>
        <w:ind w:firstLine="567"/>
        <w:jc w:val="both"/>
        <w:rPr>
          <w:rStyle w:val="hps"/>
          <w:rFonts w:ascii="Times New Roman" w:hAnsi="Times New Roman" w:cs="Times New Roman"/>
          <w:sz w:val="28"/>
          <w:szCs w:val="28"/>
          <w:lang w:val="en-US"/>
        </w:rPr>
      </w:pPr>
    </w:p>
    <w:p w:rsidR="004379E3" w:rsidRPr="0068182D" w:rsidRDefault="004379E3" w:rsidP="00C40532">
      <w:pPr>
        <w:spacing w:after="0" w:line="240" w:lineRule="auto"/>
        <w:ind w:firstLine="567"/>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Revenues and expenditures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local budgets</w:t>
      </w:r>
      <w:r w:rsidRPr="0068182D">
        <w:rPr>
          <w:rFonts w:ascii="Times New Roman" w:hAnsi="Times New Roman" w:cs="Times New Roman"/>
          <w:b/>
          <w:sz w:val="28"/>
          <w:szCs w:val="28"/>
          <w:lang w:val="en-US"/>
        </w:rPr>
        <w:t>.</w:t>
      </w:r>
    </w:p>
    <w:p w:rsidR="004379E3" w:rsidRPr="0068182D" w:rsidRDefault="004379E3" w:rsidP="00C40532">
      <w:pPr>
        <w:spacing w:after="0" w:line="240" w:lineRule="auto"/>
        <w:ind w:firstLine="567"/>
        <w:jc w:val="both"/>
        <w:rPr>
          <w:rStyle w:val="hps"/>
          <w:rFonts w:ascii="Times New Roman" w:hAnsi="Times New Roman" w:cs="Times New Roman"/>
          <w:b/>
          <w:sz w:val="28"/>
          <w:szCs w:val="28"/>
          <w:lang w:val="en-US"/>
        </w:rPr>
      </w:pP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Draft Central and Local Budgets for 2017</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year 2017 is an important year for implementing the 13th Five-Year Plan and continuing the supply-side structural reform. The new normal in China's economic development is becoming more evident, the fundamentals of the Chinese economy remain favorable for long-term growth, market dynamism is being unleashed, and new drivers of development continue to grow. On the other hand, factors causing instability and uncertainty in the global economy are growing markedly, and China's economy is confronted with many serious problems and difficulties.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On the fiscal front, the potential for increasing revenue exists together with factors that may cause revenue to decline. The divergence between regions in terms of revenue growth will continue. Pressure is mounting from demands for spending in key areas and on inflexible items. The imbalance between revenue and expenditure remains serious. All levels of government must tighten their belts, act as advocates for hard work, plain living, and thrift, and use more financial resources on things that bring tangible benefits to the people.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1.The thinking and principles guiding the preparation of the 2017 budgets and public finance work</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Given the fiscal and economic situations we face, the thinking guiding the compilation of this year's budgets and public finance work is that we need to:</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Follow the leadership of the Party Central Committee with Xi Jinping at its core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Uphold the great banner of socialism with Chinese characteristics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Put into practice the guiding principles from the 18th National Party Congress and the third through sixth plenary sessions of the 18th Party Central Committee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Follow the guidance of the Deng Xiaoping Theory, the Theory of Three Represents and the Theory of Sustainable and Balanced Development</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Put into effect the guiding principles from President Xi Jinping's major policy addresses and his new concepts, thoughts, and strategies related to the governance of China</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Move ahead with the plan for promoting balanced economic, political, cultural, social, and ecological progress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Implement the Four-Pronged Comprehensive Strategy*</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Continue to make progress while working to keep performance stable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Embrace and apply China's new development philosophy</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Understand, adapt to, and guide the new normal in economic development</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Concentrate on raising the quality and efficiency of growth</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Ensure that macro-level policy maintains economic stability, industrial policy is targeted, micro-level policy injects dynamism into the economy, reform policy delivers results, and social policy sees that basic needs are met</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Focus on advancing supply-side structural reform</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See that aggregate demand is appropriately expanded</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Strengthen guidance over expectations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Ensure that development is more driven by innovation</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Make fiscal policy more proactive and effective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Channel serious energy into cutting taxes and fees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Continue the reform of our fiscal and tax systems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Work hard to create a modern public finance system</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Tighten our belts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Step up efforts to improve and integrate government expenditures, ensuring spending in key areas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See dormant budgetary funds put to good use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Use government funds to greater effect</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Strictly implement the Budget Law</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Raise capacity for legal compliance in the management of public finance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Strengthen management over local government debt</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Prevent and defuse fiscal risks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Promote steady and healthy economic growth and social harmony and stability</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This should ensure that we greet the 19th National Party Congress with brilliant achievements.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In line with this thinking, we make sure the following principles underpin our preparation of the 2017 budgets: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First, cutting taxes and fees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should continue to implement and improve policies aimed at reducing taxes and fees -including the replacement of business tax with VAT- and introduce new measures to cut taxes and fees, further reducing the burden of businesses and making sure tax and fee cuts have positive effects on economic and social development.</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Second, continuing the reform of our fiscal and tax systems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With a view to creating a modern public finance system, we should move faster to improve the way fiscal powers and expenditure responsibilities are shared between the central and local governments, appropriately determine how they share revenue, work on improving local tax systems, and work to establish fiscal and tax systems whereby the powers, responsibilities, and interests of the central and local governments are clearly defined so that full play is given to the initiative of both.</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Third, continuing to adjust and improve our spending structure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On the basis of appropriate expenditure increases, we should work toward stopping spending on some items from constantly increasing and make a big push to cut general expenditures so that our limited funds are used for our priorities. We need to better meet the demands of moving ahead with supply-side structural reform and meeting the basic needs of the people.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Fourth, putting idle budgetary funds to use</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should be integrating special funds that share similar policy goals, investment directions, and modes of management, and transfer more funds from budgets for government-managed funds and state capital operations into general public budgets.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Fifth, guarding against and defusing fiscal risks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need to keep the deficit-to-GDP ratio at a reasonable level, work to impose ceilings on government debt and bring it under budgetary management, and improve mechanisms for local governments to secure financing and respond to debt-related risk emergencies. We need to give stronger financial support to regions with extremely tough conditions and administrative areas at the provincial level facing particular difficulties to ensure steady operations in their public finance.</w:t>
      </w:r>
    </w:p>
    <w:p w:rsidR="004379E3" w:rsidRPr="0068182D" w:rsidRDefault="004379E3" w:rsidP="00C40532">
      <w:pPr>
        <w:spacing w:after="0" w:line="240" w:lineRule="auto"/>
        <w:ind w:firstLine="567"/>
        <w:jc w:val="both"/>
        <w:rPr>
          <w:rStyle w:val="hps"/>
          <w:rFonts w:ascii="Times New Roman" w:hAnsi="Times New Roman" w:cs="Times New Roman"/>
          <w:sz w:val="28"/>
          <w:szCs w:val="28"/>
          <w:lang w:val="en-US"/>
        </w:rPr>
      </w:pPr>
    </w:p>
    <w:p w:rsidR="004379E3" w:rsidRPr="0068182D" w:rsidRDefault="004379E3" w:rsidP="00C40532">
      <w:pPr>
        <w:spacing w:after="0" w:line="240" w:lineRule="auto"/>
        <w:ind w:firstLine="567"/>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6.</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Specifics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tax collection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in the country.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State taxes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Taxes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local authorities.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Fiscal policy for 2017 will be more proactive and we will work to implement it more effectively.</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First, continuing to cut taxes and fees in favor of enterprises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will improve the policy on trials to replace business tax with VAT, and ensure that tax reductions achieve a greater impact. We will halve corporate income tax for more small and micro businesses by raising annual taxable corporate income threshold from 300,000 to 500,000 yuan. The portion of spending on research and development by small and medium-sized enterprises (SMEs) that is eligible for tax deductions will be raised from 50 to 75 percent. The reduction and exemption policy on six taxes, including the land use tax on logistics companies renting township land for commodity storage facilities, expired at the end of 2016, but we will continue to implement it this year, which will reduce taxes on enterprises by approximately 350 billion yuan. We will fully overhaul government-managed funds to ensure that they are managed according to standards, cancel funds such as the urban public facility surcharges, and authorize local governments to reduce or waive payments into certain funds. We will cancel or suspend 35 central government administrative charges on enterprises, cutting these charges by another more than 50 percent, and release the lists of central and local government administrative charges to the public. We will further overhaul and exercise standard-based management of business and service fees and charges, and make an appropriate cut in the ratio of enterprise contributions to the old-age insurance, medical insurance, unemployment insurance, workers' compensation, maternity insurance, and housing provident fund schemes. All told, this will reduce fees and charges on enterprises by around 200 billion yuan this year.</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Second, keeping the deficit-to-GDP ratio at 3 percent while moderately expanding spending</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will keep the deficit-to-GDP ratio the same as last year, and allow an increase in the deficit that corresponds to GDP growth. While working to reduce taxes and fees in support of tax credit policies, the central and local governments must use appropriate revenue budgeting and put all dormant budgetary funds to good use to ensure there is no contraction in spending intensity and there is an expansion in real spending.</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Third, ensuring fiscal funding for key areas and making government spending more effective and targeted</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In using financial resources newly acquired or freed up by adjusting dormant budgetary funds, we will give preference to promoting supply-side structural reform and ensuring effective demand moderately expands. We will increase investment in key areas of work including meeting our people's basic needs, poverty alleviation, agriculture, education, and promoting ecological progress, and will further slant financial allocations to favor regions facing difficulties as well as counties and townships. We will see that government funds are used more efficiently, and strengthen fiscal capacity to guarantee basic public services.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In implementing proactive fiscal policy, we will endeavor to promote supply-side structural reform and give impetus to the resolution of structural imbalances in supply and demand. In our continued support for the resettlement of workers laid off from the iron, steel, and coal industries as overcapacity is cut, we will make awards and subsidies available based on the level of progress being made in resettling workers in different regions and implement and improve related policies. Regions that face bigger difficulties in resettling workers and meeting spending needs will be given greater priority in relation to resettlement awards and subsidies and relevant employment funds. We will work to prevent and defuse risks resulting from overcapacity in the coal and electricity industries.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will provide financial support for continued agricultural supply-side structural reform. We will strive to see that the financial sector serves the real economy more efficiently, and more credit flows into the real economy. We will fully leverage the role of funds for promoting industrial transformation and upgrading to support smart manufacturing, green manufacturing, initiatives to build robust foundations for industry development, and the development of manufacturing innovation hubs, and to speed up implementation of the Made in China 2025 strategy.</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will make the funds available for implementation of the development plan for China's strategic emerging industries in the 13th Five-Year Plan period (2016-2020), giving impetus to the growth of strategic emerging industries including energy conservation and environmental protection, next-generation information technology, and high-end equipment manufacturing. We will increase financial support for efforts to popularize application for first sets of key equipment, and will bring new materials under the coverage of insurance subsidies for initial applications of certain products.</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We will continue to earmark funds for the development of SMEs and finance the initiative to designate demonstration cities to act as business startup and innovation hubs for small and micro businesses. We will speed up the investment and operations of the National Fund for the Development of Small and Medium-Sized Enterprises and the National Venture Capital Guide Fund for Emerging Industries. We will continue to implement a host of tax credit policies such as those concerning the accelerated depreciation of fixed assets and maker spaces, so as to support business startups and innovations by the general public. We will step up work to pilot the construction of underground urban utility tunnels and the development of sponge cities to improve urban infrastructure. We will set up the Innovative Development Guide Fund for Trade in Services in a bid to cultivate new competitive edges in foreign trade. We will support the implementation of the three key initiatives: the Belt and Road Initiative, the coordinated development of Beijing, Tianjin and Hebei, and the development of the Yangtze River economic belt in order to promote coordinated development between regions.</w:t>
      </w:r>
    </w:p>
    <w:p w:rsidR="004379E3" w:rsidRPr="0068182D" w:rsidRDefault="004379E3" w:rsidP="00C40532">
      <w:pPr>
        <w:spacing w:after="0" w:line="240" w:lineRule="auto"/>
        <w:ind w:firstLine="567"/>
        <w:jc w:val="both"/>
        <w:rPr>
          <w:rFonts w:ascii="Times New Roman" w:hAnsi="Times New Roman" w:cs="Times New Roman"/>
          <w:sz w:val="28"/>
          <w:szCs w:val="28"/>
          <w:lang w:val="en-US"/>
        </w:rPr>
      </w:pPr>
    </w:p>
    <w:p w:rsidR="00FF2DA0" w:rsidRPr="0068182D" w:rsidRDefault="00FF2DA0" w:rsidP="00FF2DA0">
      <w:pPr>
        <w:shd w:val="clear" w:color="auto" w:fill="FFFFFF"/>
        <w:tabs>
          <w:tab w:val="left" w:pos="567"/>
        </w:tabs>
        <w:spacing w:after="0" w:line="240" w:lineRule="auto"/>
        <w:ind w:firstLine="567"/>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Control questions</w:t>
      </w:r>
    </w:p>
    <w:p w:rsidR="00FF2DA0" w:rsidRPr="0068182D" w:rsidRDefault="00FF2DA0" w:rsidP="00FF2DA0">
      <w:pPr>
        <w:shd w:val="clear" w:color="auto" w:fill="FFFFFF"/>
        <w:tabs>
          <w:tab w:val="left" w:pos="567"/>
        </w:tabs>
        <w:spacing w:after="0" w:line="240" w:lineRule="auto"/>
        <w:ind w:firstLine="567"/>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1.</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content 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factors of development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Chinese economy</w:t>
      </w:r>
      <w:r w:rsidRPr="0068182D">
        <w:rPr>
          <w:rFonts w:ascii="Times New Roman" w:hAnsi="Times New Roman" w:cs="Times New Roman"/>
          <w:sz w:val="28"/>
          <w:szCs w:val="28"/>
          <w:lang w:val="en-US"/>
        </w:rPr>
        <w:t>.</w:t>
      </w:r>
    </w:p>
    <w:p w:rsidR="00FF2DA0" w:rsidRPr="0068182D" w:rsidRDefault="00FF2DA0" w:rsidP="00FF2DA0">
      <w:pPr>
        <w:shd w:val="clear" w:color="auto" w:fill="FFFFFF"/>
        <w:tabs>
          <w:tab w:val="left" w:pos="567"/>
        </w:tabs>
        <w:spacing w:after="0" w:line="240" w:lineRule="auto"/>
        <w:ind w:firstLine="567"/>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2.</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composition 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characteristics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units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the financial 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the People's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Republic</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China</w:t>
      </w:r>
    </w:p>
    <w:p w:rsidR="00FF2DA0" w:rsidRPr="0068182D" w:rsidRDefault="00FF2DA0" w:rsidP="00FF2DA0">
      <w:pPr>
        <w:spacing w:after="0" w:line="240" w:lineRule="auto"/>
        <w:ind w:firstLine="567"/>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3.</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budget 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budgetary 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 China.</w:t>
      </w:r>
    </w:p>
    <w:p w:rsidR="00FF2DA0" w:rsidRPr="0068182D" w:rsidRDefault="00FF2DA0" w:rsidP="00FF2DA0">
      <w:pPr>
        <w:tabs>
          <w:tab w:val="left" w:pos="180"/>
        </w:tabs>
        <w:spacing w:after="0" w:line="240" w:lineRule="auto"/>
        <w:ind w:firstLine="567"/>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4.</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Revenues and expenditures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the central</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budget</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China</w:t>
      </w:r>
      <w:r w:rsidRPr="0068182D">
        <w:rPr>
          <w:rFonts w:ascii="Times New Roman" w:hAnsi="Times New Roman" w:cs="Times New Roman"/>
          <w:sz w:val="28"/>
          <w:szCs w:val="28"/>
          <w:lang w:val="en-US"/>
        </w:rPr>
        <w:t>.</w:t>
      </w:r>
    </w:p>
    <w:p w:rsidR="00FF2DA0" w:rsidRPr="0068182D" w:rsidRDefault="00FF2DA0" w:rsidP="00FF2DA0">
      <w:pPr>
        <w:spacing w:after="0" w:line="240" w:lineRule="auto"/>
        <w:ind w:left="567"/>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5.</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Revenues and expenditures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local budgets</w:t>
      </w:r>
      <w:r w:rsidRPr="0068182D">
        <w:rPr>
          <w:rFonts w:ascii="Times New Roman" w:hAnsi="Times New Roman" w:cs="Times New Roman"/>
          <w:sz w:val="28"/>
          <w:szCs w:val="28"/>
          <w:lang w:val="en-US"/>
        </w:rPr>
        <w:t>.</w:t>
      </w:r>
      <w:r w:rsidRPr="0068182D">
        <w:rPr>
          <w:rFonts w:ascii="Times New Roman" w:hAnsi="Times New Roman" w:cs="Times New Roman"/>
          <w:sz w:val="28"/>
          <w:szCs w:val="28"/>
          <w:lang w:val="en-US"/>
        </w:rPr>
        <w:br/>
      </w:r>
      <w:r w:rsidRPr="0068182D">
        <w:rPr>
          <w:rStyle w:val="hps"/>
          <w:rFonts w:ascii="Times New Roman" w:hAnsi="Times New Roman" w:cs="Times New Roman"/>
          <w:sz w:val="28"/>
          <w:szCs w:val="28"/>
          <w:lang w:val="en-US"/>
        </w:rPr>
        <w:t>6.</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Specifics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tax collection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 the country.</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State taxes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Taxes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local authorities.</w:t>
      </w:r>
    </w:p>
    <w:p w:rsidR="00FF2DA0" w:rsidRPr="0068182D" w:rsidRDefault="00FF2DA0" w:rsidP="00C40532">
      <w:pPr>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Theme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11.</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financial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Singapore</w:t>
      </w:r>
    </w:p>
    <w:p w:rsidR="004379E3" w:rsidRPr="0068182D" w:rsidRDefault="004379E3" w:rsidP="00C40532">
      <w:pPr>
        <w:spacing w:after="0" w:line="240" w:lineRule="auto"/>
        <w:ind w:firstLine="709"/>
        <w:jc w:val="both"/>
        <w:rPr>
          <w:rStyle w:val="hps"/>
          <w:rFonts w:ascii="Times New Roman" w:hAnsi="Times New Roman" w:cs="Times New Roman"/>
          <w:b/>
          <w:sz w:val="28"/>
          <w:szCs w:val="28"/>
          <w:lang w:val="en-US"/>
        </w:rPr>
      </w:pPr>
      <w:r w:rsidRPr="0068182D">
        <w:rPr>
          <w:rFonts w:ascii="Times New Roman" w:hAnsi="Times New Roman" w:cs="Times New Roman"/>
          <w:b/>
          <w:sz w:val="28"/>
          <w:szCs w:val="28"/>
          <w:lang w:val="en-US"/>
        </w:rPr>
        <w:br/>
      </w:r>
      <w:r w:rsidRPr="0068182D">
        <w:rPr>
          <w:rStyle w:val="hps"/>
          <w:rFonts w:ascii="Times New Roman" w:hAnsi="Times New Roman" w:cs="Times New Roman"/>
          <w:b/>
          <w:sz w:val="28"/>
          <w:szCs w:val="28"/>
          <w:lang w:val="en-US"/>
        </w:rPr>
        <w:t>1.</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Singapore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miracle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economy.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economic model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Singapore.</w:t>
      </w:r>
    </w:p>
    <w:p w:rsidR="004379E3" w:rsidRPr="0068182D" w:rsidRDefault="004379E3" w:rsidP="00C40532">
      <w:pPr>
        <w:spacing w:after="0" w:line="240" w:lineRule="auto"/>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2.</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Financial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sector</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 the locomotive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local economy</w:t>
      </w:r>
      <w:r w:rsidRPr="0068182D">
        <w:rPr>
          <w:rFonts w:ascii="Times New Roman" w:hAnsi="Times New Roman" w:cs="Times New Roman"/>
          <w:b/>
          <w:sz w:val="28"/>
          <w:szCs w:val="28"/>
          <w:lang w:val="en-US"/>
        </w:rPr>
        <w:t>.</w:t>
      </w:r>
    </w:p>
    <w:p w:rsidR="004379E3" w:rsidRPr="0068182D" w:rsidRDefault="004379E3" w:rsidP="00C40532">
      <w:pPr>
        <w:spacing w:after="0" w:line="240" w:lineRule="auto"/>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3.</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financial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Singapore</w:t>
      </w:r>
      <w:r w:rsidRPr="0068182D">
        <w:rPr>
          <w:rFonts w:ascii="Times New Roman" w:hAnsi="Times New Roman" w:cs="Times New Roman"/>
          <w:b/>
          <w:sz w:val="28"/>
          <w:szCs w:val="28"/>
          <w:lang w:val="en-US"/>
        </w:rPr>
        <w:t>.</w:t>
      </w:r>
    </w:p>
    <w:p w:rsidR="004379E3" w:rsidRPr="0068182D" w:rsidRDefault="004379E3" w:rsidP="00C40532">
      <w:pPr>
        <w:spacing w:after="0" w:line="240" w:lineRule="auto"/>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4.</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state 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the structure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costs and revenues.</w:t>
      </w:r>
    </w:p>
    <w:p w:rsidR="004379E3" w:rsidRPr="0068182D" w:rsidRDefault="004379E3" w:rsidP="00C40532">
      <w:pPr>
        <w:spacing w:after="0" w:line="240" w:lineRule="auto"/>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tax</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Singapore</w:t>
      </w:r>
      <w:r w:rsidRPr="0068182D">
        <w:rPr>
          <w:rFonts w:ascii="Times New Roman" w:hAnsi="Times New Roman" w:cs="Times New Roman"/>
          <w:b/>
          <w:sz w:val="28"/>
          <w:szCs w:val="28"/>
          <w:lang w:val="en-US"/>
        </w:rPr>
        <w:t>.</w:t>
      </w:r>
    </w:p>
    <w:p w:rsidR="004379E3" w:rsidRPr="0068182D" w:rsidRDefault="004379E3" w:rsidP="00C40532">
      <w:pPr>
        <w:spacing w:after="0" w:line="240" w:lineRule="auto"/>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6. Role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the development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Singapore's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economy</w:t>
      </w:r>
      <w:r w:rsidRPr="0068182D">
        <w:rPr>
          <w:rFonts w:ascii="Times New Roman" w:hAnsi="Times New Roman" w:cs="Times New Roman"/>
          <w:b/>
          <w:sz w:val="28"/>
          <w:szCs w:val="28"/>
          <w:lang w:val="en-US"/>
        </w:rPr>
        <w:t xml:space="preserve"> C</w:t>
      </w:r>
      <w:r w:rsidRPr="0068182D">
        <w:rPr>
          <w:rStyle w:val="hps"/>
          <w:rFonts w:ascii="Times New Roman" w:hAnsi="Times New Roman" w:cs="Times New Roman"/>
          <w:b/>
          <w:sz w:val="28"/>
          <w:szCs w:val="28"/>
          <w:lang w:val="en-US"/>
        </w:rPr>
        <w:t>EZ</w:t>
      </w:r>
    </w:p>
    <w:p w:rsidR="004379E3" w:rsidRPr="0068182D" w:rsidRDefault="004379E3" w:rsidP="00C40532">
      <w:pPr>
        <w:spacing w:after="0" w:line="240" w:lineRule="auto"/>
        <w:ind w:firstLine="709"/>
        <w:jc w:val="both"/>
        <w:rPr>
          <w:rStyle w:val="hps"/>
          <w:rFonts w:ascii="Times New Roman" w:hAnsi="Times New Roman" w:cs="Times New Roman"/>
          <w:sz w:val="28"/>
          <w:szCs w:val="28"/>
          <w:lang w:val="en-US"/>
        </w:rPr>
      </w:pPr>
    </w:p>
    <w:p w:rsidR="004379E3" w:rsidRPr="0068182D" w:rsidRDefault="004379E3" w:rsidP="000537F4">
      <w:pPr>
        <w:pStyle w:val="a4"/>
        <w:numPr>
          <w:ilvl w:val="0"/>
          <w:numId w:val="20"/>
        </w:numPr>
        <w:spacing w:after="0" w:line="240" w:lineRule="auto"/>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Singapore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miracle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economy.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economic model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Singapore.</w:t>
      </w: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bdr w:val="none" w:sz="0" w:space="0" w:color="auto" w:frame="1"/>
          <w:lang w:val="en-US"/>
        </w:rPr>
        <w:t>The island’s success is even more remarkable when you consider the dire circumstances the newly independent state found itself in in 1965 – when it was expelled from a short-lived merger with Malaysia – what it has achieved borders on the miraculous. It is unprecedented and is unlikely to be repeated anywhere else, despite the large body of academic work devoted to trying to decipher the ‘Singapore model’.</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Singaporeans will remind you, and it seems themselves, that in 1959 when it attained self rule under Lee Kuan Yew, it was a poverty-stricken, disease-riddled little entrepôt with a polyglot population of around a million Chinese, Malays and Indians sharing atrocious living conditions and constantly bickering with each other. Singapore earned its living by processing rubber, copra and other produce from surrounding the hinterland. But its main source of income was as a British naval base and trans-shipment port.</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After independence in 1963, and with fraught relations with its neighbours, the fate of its independent economic existence seemed sealed, especially as Britain stuck to its determination to withdraw from all its possessions east of Suez.</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How could Singapore survive when it was no longer the centre of the wider area that the British once governed? pondered Lee Kuan Yew. “We had to create a new kind of economy, try new methods and schemes never tried before anywhere else in the world, because there was no other country like Singapore,” he writes in</w:t>
      </w:r>
      <w:r w:rsidRPr="0068182D">
        <w:rPr>
          <w:rStyle w:val="apple-converted-space"/>
          <w:sz w:val="28"/>
          <w:szCs w:val="28"/>
          <w:bdr w:val="none" w:sz="0" w:space="0" w:color="auto" w:frame="1"/>
          <w:lang w:val="en-US"/>
        </w:rPr>
        <w:t> </w:t>
      </w:r>
      <w:r w:rsidRPr="0068182D">
        <w:rPr>
          <w:rStyle w:val="a7"/>
          <w:sz w:val="28"/>
          <w:szCs w:val="28"/>
          <w:bdr w:val="none" w:sz="0" w:space="0" w:color="auto" w:frame="1"/>
          <w:lang w:val="en-US"/>
        </w:rPr>
        <w:t>From Third World to First</w:t>
      </w:r>
      <w:r w:rsidRPr="0068182D">
        <w:rPr>
          <w:sz w:val="28"/>
          <w:szCs w:val="28"/>
          <w:bdr w:val="none" w:sz="0" w:space="0" w:color="auto" w:frame="1"/>
          <w:lang w:val="en-US"/>
        </w:rPr>
        <w:t>.</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The best of all the bad options available was to industrialise. But the question remained as to how to entice investors and industrialists to set up shop in Singapore when there were so many other more attractive options around. “We cast around for solutions and were willing to try any practical idea that could create jobs and enable us to pay our way,” Lee Kuan Yew recalls.</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Analyst Tilak Abeysinghe says that what happened next was “a wonder created out of a tear drop”. The tears that the nation saw in the eyes of the then young leader Lee Kuan Yew solidified the determination of the nation to rise against all odds. The rest is history – Singapore turned its vulnerability to strength.</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Lee Kuan Yew’s highly dedicated team, led by Goh Keng Swee, considered the architect of the country’s economy, hit on what turned out to be twin strokes of genius. The first was to leapfrog the region and link up directly with the developed world – America, Europe and Japan – and attract their manufacturers to produce in Singapore and export their products to developed countries.</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The second was “to create a First World oasis in a Third World region”.</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“We had one simple guiding principle for survival,” Lee Kuan Yew says, “that Singapore had to be more rugged, better organised and more efficient than others in the region. If we were only as good as our neighbours, there was no reason for businesses to be based here.”</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He and his ministers set out to woo the US industrialists through a series of talks. The breakthough came when Texas Instruments started production of semiconductors – at that time a high-technology product – in 1968. National Semiconductors followed closely on its heels. Hewlett-Packard (HP) came onboard and General Electric set up six different facilities. By the 1980s, the country had become a major electronics exporter and by 1997 there were nearly 200 US manufacturing companies with over $19 billion-worth of investments.</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Shell and Exxon set up refineries, spawning a thriving chemical industry and hundreds of manufacturing firms appeared to service the large multinationals and rapidly expanding economy. Britain had been persuaded not to destroy its facilities when it left, contrary to usual custom, and the dockyards at Sembawang and Keppel prospered under private management. The RAF Changi airbase was expanded through reclaimed land and developed to rank as one the very best airports in the world – and it is still expanding.</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Singapore’s rise as a financial centre came about as a chance observation that the daily financial world went to sleep when San Francisco closed in the afternoon until Zurich opened in the morning. Could Singapore fi ll in the gap and thus deliver a 24-hour round-the-world service in money and banking? It could and did. By the 1990s, Singapore had become the fourth largest financial centre in the world after London, New York and Tokyo.</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Singapore was well on its way. The model that emerged consisted of, on the one hand, a tightly regulated planned economy and, on the other, one of the world’s most free market systems. That model continues to this day with each administration making adjustments to suit changing circumstances. For example, the education system has been upgraded from providing basic vocation-oriented scholarship to advanced secondary and tertiary learning. Singapore itself has become a major centre of learning for the Asian region.</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The government works with trade unions and employers to regulate the flow of foreign workers and thus control the labour market. Ironically, its policies to limit population growth in the 1970s, when unemployment was rife, worked too well and its current total fertility rate of just around 1.2 is the lowest in the world. In an effort to increase the fertility rate, premier Lee Loong introduced substantial bonuses for larger families in 2004.</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However, bowing to public pressure, he also raised the foreign-workers’ levy and cut back the number of foreign work permits, but this has added to manufacturing and services costs, which have been passed on to customers, fuelling a three to four per cent inflation.</w:t>
      </w:r>
    </w:p>
    <w:p w:rsidR="004379E3" w:rsidRPr="0068182D" w:rsidRDefault="004379E3" w:rsidP="00C40532">
      <w:pPr>
        <w:pStyle w:val="a6"/>
        <w:spacing w:before="0" w:beforeAutospacing="0" w:after="0" w:afterAutospacing="0"/>
        <w:ind w:firstLine="709"/>
        <w:jc w:val="both"/>
        <w:textAlignment w:val="baseline"/>
        <w:rPr>
          <w:sz w:val="28"/>
          <w:szCs w:val="28"/>
          <w:lang w:val="en-US"/>
        </w:rPr>
      </w:pPr>
      <w:r w:rsidRPr="0068182D">
        <w:rPr>
          <w:sz w:val="28"/>
          <w:szCs w:val="28"/>
          <w:bdr w:val="none" w:sz="0" w:space="0" w:color="auto" w:frame="1"/>
          <w:lang w:val="en-US"/>
        </w:rPr>
        <w:t>Nevertheless, Singapore is determined to continue its march towards a knowledge-based economy and is upgrading both its high-end technical training and providing companies with subsidies to increase their rate of mechanisation. In 2000, it set up the Agency for Science and Technology (A*STAR) and it is devoting more of the budget to research and development, as well as the promotion of innovation, entrepreneurship and attracting foreign talent. The mega, three-phase One North science-culture project is an important move to anchor Singapore in the higher reaches of the knowledge-based economy structure.</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0537F4">
      <w:pPr>
        <w:pStyle w:val="a4"/>
        <w:numPr>
          <w:ilvl w:val="0"/>
          <w:numId w:val="20"/>
        </w:numPr>
        <w:spacing w:after="0" w:line="240" w:lineRule="auto"/>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Financial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sector</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 the locomotive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local economy</w:t>
      </w:r>
      <w:r w:rsidRPr="0068182D">
        <w:rPr>
          <w:rFonts w:ascii="Times New Roman" w:hAnsi="Times New Roman" w:cs="Times New Roman"/>
          <w:b/>
          <w:sz w:val="28"/>
          <w:szCs w:val="28"/>
          <w:lang w:val="en-US"/>
        </w:rPr>
        <w:t>.</w:t>
      </w:r>
    </w:p>
    <w:p w:rsidR="004379E3" w:rsidRPr="0068182D" w:rsidRDefault="004379E3" w:rsidP="00C40532">
      <w:pPr>
        <w:pStyle w:val="a4"/>
        <w:spacing w:after="0" w:line="240" w:lineRule="auto"/>
        <w:ind w:left="106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Singapore financial system is highly developed, and well regulated and supervised. Singapore is one of the world’s largest financial centers, built around a core of domestic and international banks, and also offers a wide range of non-bank services. The authorities have given strong emphasis to integrity and stability in finance and to compliance with international standards, and have addressed most recommendations made by the 2004 FSAP. Singapore’s current regulation and supervision are among the best globally. The Monetary Authority of Singapore (MAS) oversees the entire financial system, and has the analytical and operational capabilities to do so effectively. Singapore is exposed to a broad array of domestic and global risks, especially in light of its interconnectedness with other financial centers. The most pressing vulnerability appears to stem from the rapid growth of credit and real estate prices in recent years, but the financial system is also exposed to possible spillovers from a future tightening of U.S. monetary policy, an economic slowdown in China, or a deterioration of economic conditions in Europe.</w:t>
      </w:r>
    </w:p>
    <w:p w:rsidR="004379E3" w:rsidRPr="0068182D" w:rsidRDefault="004379E3" w:rsidP="00C40532">
      <w:pPr>
        <w:spacing w:after="0" w:line="240" w:lineRule="auto"/>
        <w:ind w:firstLine="709"/>
        <w:jc w:val="both"/>
        <w:rPr>
          <w:rFonts w:ascii="Times New Roman" w:hAnsi="Times New Roman" w:cs="Times New Roman"/>
          <w:sz w:val="28"/>
          <w:szCs w:val="28"/>
        </w:rPr>
      </w:pPr>
      <w:r w:rsidRPr="0068182D">
        <w:rPr>
          <w:rFonts w:ascii="Times New Roman" w:hAnsi="Times New Roman" w:cs="Times New Roman"/>
          <w:sz w:val="28"/>
          <w:szCs w:val="28"/>
          <w:lang w:val="en-US"/>
        </w:rPr>
        <w:t xml:space="preserve">The team’s stress tests suggest that these risks are manageable. This reflects banks’ large capital and other cushions, and the decisive macroprudential actions taken by MAS to address the threat of a bubble in the housing sector. Moreover, MAS has sought to address potential spillovers from other major financial centers by converting large retail branches operating in the domestic market into domestically incorporated subsidiaries, and by pressing in international fora for greater sharing of supervisory information on global systemically important financial institutions (G-SIFIs). Looking forward, the analysis suggests the importance of continuing to monitor closely cross-border interbank liabilities, and also of continuing to adjust macroprudential measures in response to domestic housing market conditions. Bank regulation and supervision is of a high caliber, but there is still room for strengthening in several areas. The macroeconomic surveillance and supervisory functions in MAS are closely coordinated, allowing for an efficient and in-depth analysis of macro-financial linkages, with appropriate follow-up actions. Overall compliance with the supervisory standards assessed by the FSAP mission—banking, insurance, securities, and financial market infrastructures (notably for OTC derivatives)—was also very high compared with other major financial centers. </w:t>
      </w:r>
      <w:r w:rsidRPr="0068182D">
        <w:rPr>
          <w:rFonts w:ascii="Times New Roman" w:hAnsi="Times New Roman" w:cs="Times New Roman"/>
          <w:sz w:val="28"/>
          <w:szCs w:val="28"/>
        </w:rPr>
        <w:t>However, there are areas where further attention is needed:</w:t>
      </w:r>
    </w:p>
    <w:p w:rsidR="004379E3" w:rsidRPr="0068182D" w:rsidRDefault="004379E3" w:rsidP="000537F4">
      <w:pPr>
        <w:pStyle w:val="a4"/>
        <w:numPr>
          <w:ilvl w:val="0"/>
          <w:numId w:val="17"/>
        </w:numPr>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Although the stress tests confirm that banks’ funding gaps appear manageable, liquidity shortages in foreign currency could affect some banks under very adverse conditions, and MAS is encouraged to closely monitor LCR ratios on an individual foreign currency basis.</w:t>
      </w:r>
    </w:p>
    <w:p w:rsidR="004379E3" w:rsidRPr="0068182D" w:rsidRDefault="004379E3" w:rsidP="000537F4">
      <w:pPr>
        <w:pStyle w:val="a4"/>
        <w:numPr>
          <w:ilvl w:val="0"/>
          <w:numId w:val="17"/>
        </w:numPr>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Steps could be taken to strengthen banks’ capitalization framework, with the implementation of the countercyclical capital buffer in line with the Basel III timelines, using triggers suitable to Singapore’s specific circumstances.</w:t>
      </w:r>
    </w:p>
    <w:p w:rsidR="004379E3" w:rsidRPr="0068182D" w:rsidRDefault="004379E3" w:rsidP="000537F4">
      <w:pPr>
        <w:pStyle w:val="a4"/>
        <w:numPr>
          <w:ilvl w:val="0"/>
          <w:numId w:val="17"/>
        </w:numPr>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It would also be appropriate to step up onsite inspections of banks’ credit risk, notably in view of rising household and corporate leverage.</w:t>
      </w:r>
    </w:p>
    <w:p w:rsidR="004379E3" w:rsidRPr="0068182D" w:rsidRDefault="004379E3" w:rsidP="000537F4">
      <w:pPr>
        <w:pStyle w:val="a4"/>
        <w:numPr>
          <w:ilvl w:val="0"/>
          <w:numId w:val="17"/>
        </w:numPr>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structure of the MAS board, which includes several government ministers, was considered by assessors to be potentially inconsistent with full supervisory independence, and consideration should be given to addressing this situation.</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Singapore is one of the largest financial centers in the world. Apart from its large and diversified domestic banks, it hosts major international banks attracted by Singapore’s efficient market infrastructure and its well established reputation for the rule of law and effective supervision. As of 2012, Singapore was the third largest foreign exchange (FX) market in the world (offering deep and liquid markets for trading and hedging of G3 currencies, as well as emerging market currencies) and one of the largest trading centers for OTC derivatives in Asia, with interest and FX derivatives dominating activity. Equity and fixed income markets are at an earlier stage of development. Singapore has a well-developed payment, clearing, and settlement infrastructure, with several systemically important financial market infrastructures (FMIs) (Figure 1).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Singapore’s financial center has several distinctive features (Figure 2 and Table 3):</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sym w:font="Symbol" w:char="F0B7"/>
      </w:r>
      <w:r w:rsidRPr="0068182D">
        <w:rPr>
          <w:rFonts w:ascii="Times New Roman" w:hAnsi="Times New Roman" w:cs="Times New Roman"/>
          <w:sz w:val="28"/>
          <w:szCs w:val="28"/>
          <w:lang w:val="en-US"/>
        </w:rPr>
        <w:t xml:space="preserve"> Predominance of banks over other types of financial institutions. While it has undergone major structural changes in recent years, Singapore’s financial sector remains dominated by banks. As of June 2013, there were 122 commercial banks operating in Singapore, of which five were local banks, one was a foreign subsidiary, while the rest were foreign branches.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sym w:font="Symbol" w:char="F0B7"/>
      </w:r>
      <w:r w:rsidRPr="0068182D">
        <w:rPr>
          <w:rFonts w:ascii="Times New Roman" w:hAnsi="Times New Roman" w:cs="Times New Roman"/>
          <w:sz w:val="28"/>
          <w:szCs w:val="28"/>
          <w:lang w:val="en-US"/>
        </w:rPr>
        <w:t xml:space="preserve"> A small number of systemically important domestic banks. The three largest local banks2 have grown to about 30 percent of banking system assets (equivalent to about 180 percent of GDP). They are strong in traditional lending intermediation in Singapore and in the region (through subsidiaries). About 35 percent of banks’ exposures and income originate in the region, outside Singapore.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rPr>
        <w:sym w:font="Symbol" w:char="F0B7"/>
      </w:r>
      <w:r w:rsidRPr="0068182D">
        <w:rPr>
          <w:rFonts w:ascii="Times New Roman" w:hAnsi="Times New Roman" w:cs="Times New Roman"/>
          <w:sz w:val="28"/>
          <w:szCs w:val="28"/>
          <w:lang w:val="en-US"/>
        </w:rPr>
        <w:t xml:space="preserve"> Foreign bank branches rather than subsidiaries. Foreign banks represent about 65 percent of total banking assets. European and U.S. foreign banks have the largest presence followed by a smaller presence of regional banks. While some foreign bank branches have a significant presence in domestic retail and corporate lending (the so-called full and qualifying full banks, QFBs), others limit their activities to the provision of services to their domestic clients, or IT operations in Singapore with a regional focus.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There are four types of banks: Full, Qualifying Full Banks (QFBs), Wholesale, and Offshore. Full banks can conduct the whole range of banking business, including retail deposit taking. QFBs have key privileges regarding the number of places of business (up to 25). There are at present 10 QFBs. In June 2012, MAS announced changes to the QFB program by which QFBs with large retail presence will be required to locally incorporate their retail operation. In addition, QFBs that satisfy certain qualifying criteria and are assessed to be “significantly rooted” will be allowed to establish up to 50 places of business. Wholesale branches are allowed to take wholesale domestic funding but not retail. Purely off-shore branches are generally not allowed to accept Singapore dollar deposits from residents.</w:t>
      </w:r>
    </w:p>
    <w:p w:rsidR="004379E3" w:rsidRPr="0068182D" w:rsidRDefault="004379E3" w:rsidP="000537F4">
      <w:pPr>
        <w:pStyle w:val="a4"/>
        <w:numPr>
          <w:ilvl w:val="0"/>
          <w:numId w:val="18"/>
        </w:numPr>
        <w:tabs>
          <w:tab w:val="left" w:pos="851"/>
        </w:tabs>
        <w:spacing w:after="0" w:line="240" w:lineRule="auto"/>
        <w:ind w:left="0"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Universal banking licenses. Local banks and branches are allowed to undertake universal banking, and can offer a wide range of financial services, provided these are regulated by MAS. They are exempted from holding additional licenses, but are required to notify MAS when they wish to commence regulated nonbank securities and financial advisory activities, and to comply with the relevant regulations.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3. Other financial institutions include insurance companies, merchant banks, fund managers, market intermediaries, and financial advisors. The insurance sector is the second largest component of Singapore’s financial system. However, despite recent growth, its assets account for only about 6 percent of the total assets of the system (about 48 percent of GDP). The largest activity is life insurance, in particular policies issued to Singapore residents. There are also over 600 fund management firms5 with S$880 billion in assets under management (AUM), of which about 250 hedge funds managers with AUM of S$60 billion (about 250 percent and 17 percent of GDP, respectively). More than 80 percent of these assets come from sources outside Singapore, in particular from the region, attracted by its favorable tax and legal framework.</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4. Since the last FSAP, macroeconomic and financial performance has been strong.8 Real GDP growth and inflation averaged around 6 percent and 2½ percent respectively during 2004–11. The services sector has made the largest contribution to output and growth, accounting for about 60 percent of GDP and about 70 percent of growth. The financial system more than doubled in absolute terms, and now contributes around 12¼ percent to annual GDP (up from about 10 percent in 2004). Following a 9 percent decline in 2008 and early 2009, output recovered strongly and GDP is now significantly above the pre-crisis level. 2012 was a more difficult year for Singapore, however, owing to weak global demand and a tighter foreign worker policy, resulting in real growth of around 1¼ percent, with weak activity continuing into early 2013. The resident unemployment rate remains at a near historic low of 3 percent.</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3.</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financial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of Singapore</w:t>
      </w:r>
      <w:r w:rsidRPr="0068182D">
        <w:rPr>
          <w:rFonts w:ascii="Times New Roman" w:hAnsi="Times New Roman" w:cs="Times New Roman"/>
          <w:b/>
          <w:sz w:val="28"/>
          <w:szCs w:val="28"/>
          <w:lang w:val="en-US"/>
        </w:rPr>
        <w:t>.</w:t>
      </w:r>
    </w:p>
    <w:p w:rsidR="004379E3" w:rsidRPr="0068182D" w:rsidRDefault="004379E3" w:rsidP="00C40532">
      <w:pPr>
        <w:pStyle w:val="3"/>
        <w:shd w:val="clear" w:color="auto" w:fill="FFFFFF"/>
        <w:spacing w:before="0" w:line="240" w:lineRule="auto"/>
        <w:ind w:firstLine="709"/>
        <w:jc w:val="both"/>
        <w:rPr>
          <w:rFonts w:ascii="Times New Roman" w:hAnsi="Times New Roman" w:cs="Times New Roman"/>
          <w:color w:val="000000"/>
          <w:sz w:val="28"/>
          <w:szCs w:val="28"/>
          <w:lang w:val="en-US"/>
        </w:rPr>
      </w:pPr>
      <w:r w:rsidRPr="0068182D">
        <w:rPr>
          <w:rStyle w:val="mw-headline"/>
          <w:rFonts w:ascii="Times New Roman" w:hAnsi="Times New Roman" w:cs="Times New Roman"/>
          <w:color w:val="000000"/>
          <w:sz w:val="28"/>
          <w:szCs w:val="28"/>
          <w:lang w:val="en-US"/>
        </w:rPr>
        <w:t>Banking</w:t>
      </w:r>
    </w:p>
    <w:p w:rsidR="004379E3" w:rsidRPr="0068182D" w:rsidRDefault="004379E3" w:rsidP="00C40532">
      <w:pPr>
        <w:pStyle w:val="a6"/>
        <w:shd w:val="clear" w:color="auto" w:fill="FFFFFF"/>
        <w:spacing w:before="0" w:beforeAutospacing="0" w:after="0" w:afterAutospacing="0"/>
        <w:ind w:firstLine="709"/>
        <w:jc w:val="both"/>
        <w:rPr>
          <w:color w:val="252525"/>
          <w:sz w:val="28"/>
          <w:szCs w:val="28"/>
          <w:lang w:val="en-US"/>
        </w:rPr>
      </w:pPr>
      <w:r w:rsidRPr="0068182D">
        <w:rPr>
          <w:color w:val="252525"/>
          <w:sz w:val="28"/>
          <w:szCs w:val="28"/>
          <w:lang w:val="en-US"/>
        </w:rPr>
        <w:t>Singapore is considered a global financial hub, with Singapore banks offering world-class corporate bank account facilities. These include multiple currencies, internet banking, telephone banking, checking accounts, savings accounts, debit and credit cards, fixed term deposits and wealth management services.</w:t>
      </w:r>
      <w:r w:rsidRPr="0068182D">
        <w:rPr>
          <w:color w:val="252525"/>
          <w:sz w:val="28"/>
          <w:szCs w:val="28"/>
          <w:vertAlign w:val="superscript"/>
          <w:lang w:val="en-US"/>
        </w:rPr>
        <w:t xml:space="preserve"> </w:t>
      </w:r>
      <w:r w:rsidRPr="0068182D">
        <w:rPr>
          <w:color w:val="252525"/>
          <w:sz w:val="28"/>
          <w:szCs w:val="28"/>
          <w:lang w:val="en-US"/>
        </w:rPr>
        <w:t>According to the</w:t>
      </w:r>
      <w:r w:rsidRPr="0068182D">
        <w:rPr>
          <w:rStyle w:val="apple-converted-space"/>
          <w:rFonts w:eastAsiaTheme="majorEastAsia"/>
          <w:color w:val="252525"/>
          <w:sz w:val="28"/>
          <w:szCs w:val="28"/>
          <w:lang w:val="en-US"/>
        </w:rPr>
        <w:t> </w:t>
      </w:r>
      <w:hyperlink r:id="rId403" w:tooltip="Human Rights Watch" w:history="1">
        <w:r w:rsidRPr="0068182D">
          <w:rPr>
            <w:rStyle w:val="a5"/>
            <w:color w:val="0B0080"/>
            <w:sz w:val="28"/>
            <w:szCs w:val="28"/>
            <w:lang w:val="en-US"/>
          </w:rPr>
          <w:t>Human Rights Watch</w:t>
        </w:r>
      </w:hyperlink>
      <w:r w:rsidRPr="0068182D">
        <w:rPr>
          <w:color w:val="252525"/>
          <w:sz w:val="28"/>
          <w:szCs w:val="28"/>
          <w:lang w:val="en-US"/>
        </w:rPr>
        <w:t>, due to its role as a financial hub for the region, Singapore has continually been criticised for reportedly hosting bank accounts containing ill-gotten gains of</w:t>
      </w:r>
      <w:r w:rsidRPr="0068182D">
        <w:rPr>
          <w:rStyle w:val="apple-converted-space"/>
          <w:rFonts w:eastAsiaTheme="majorEastAsia"/>
          <w:color w:val="252525"/>
          <w:sz w:val="28"/>
          <w:szCs w:val="28"/>
          <w:lang w:val="en-US"/>
        </w:rPr>
        <w:t> </w:t>
      </w:r>
      <w:hyperlink r:id="rId404" w:tooltip="Corruption" w:history="1">
        <w:r w:rsidRPr="0068182D">
          <w:rPr>
            <w:rStyle w:val="a5"/>
            <w:color w:val="0B0080"/>
            <w:sz w:val="28"/>
            <w:szCs w:val="28"/>
            <w:lang w:val="en-US"/>
          </w:rPr>
          <w:t>corrupt</w:t>
        </w:r>
      </w:hyperlink>
      <w:r w:rsidRPr="0068182D">
        <w:rPr>
          <w:rStyle w:val="apple-converted-space"/>
          <w:rFonts w:eastAsiaTheme="majorEastAsia"/>
          <w:color w:val="252525"/>
          <w:sz w:val="28"/>
          <w:szCs w:val="28"/>
          <w:lang w:val="en-US"/>
        </w:rPr>
        <w:t> </w:t>
      </w:r>
      <w:r w:rsidRPr="0068182D">
        <w:rPr>
          <w:color w:val="252525"/>
          <w:sz w:val="28"/>
          <w:szCs w:val="28"/>
          <w:lang w:val="en-US"/>
        </w:rPr>
        <w:t>leaders and their associates, including billions of dollars of</w:t>
      </w:r>
      <w:r w:rsidRPr="0068182D">
        <w:rPr>
          <w:rStyle w:val="apple-converted-space"/>
          <w:rFonts w:eastAsiaTheme="majorEastAsia"/>
          <w:color w:val="252525"/>
          <w:sz w:val="28"/>
          <w:szCs w:val="28"/>
          <w:lang w:val="en-US"/>
        </w:rPr>
        <w:t> </w:t>
      </w:r>
      <w:hyperlink r:id="rId405" w:tooltip="Burma" w:history="1">
        <w:r w:rsidRPr="0068182D">
          <w:rPr>
            <w:rStyle w:val="a5"/>
            <w:color w:val="0B0080"/>
            <w:sz w:val="28"/>
            <w:szCs w:val="28"/>
            <w:lang w:val="en-US"/>
          </w:rPr>
          <w:t>Burma</w:t>
        </w:r>
      </w:hyperlink>
      <w:r w:rsidRPr="0068182D">
        <w:rPr>
          <w:color w:val="252525"/>
          <w:sz w:val="28"/>
          <w:szCs w:val="28"/>
          <w:lang w:val="en-US"/>
        </w:rPr>
        <w:t>'s state gas revenues hidden from national accounts.</w:t>
      </w:r>
      <w:r w:rsidRPr="0068182D">
        <w:rPr>
          <w:color w:val="252525"/>
          <w:sz w:val="28"/>
          <w:szCs w:val="28"/>
          <w:vertAlign w:val="superscript"/>
          <w:lang w:val="en-US"/>
        </w:rPr>
        <w:t xml:space="preserve"> </w:t>
      </w:r>
      <w:r w:rsidRPr="0068182D">
        <w:rPr>
          <w:color w:val="252525"/>
          <w:sz w:val="28"/>
          <w:szCs w:val="28"/>
          <w:lang w:val="en-US"/>
        </w:rPr>
        <w:t>Singapore has attracted assets formerly held in</w:t>
      </w:r>
      <w:r w:rsidRPr="0068182D">
        <w:rPr>
          <w:rStyle w:val="apple-converted-space"/>
          <w:rFonts w:eastAsiaTheme="majorEastAsia"/>
          <w:color w:val="252525"/>
          <w:sz w:val="28"/>
          <w:szCs w:val="28"/>
          <w:lang w:val="en-US"/>
        </w:rPr>
        <w:t> </w:t>
      </w:r>
      <w:hyperlink r:id="rId406" w:tooltip="Swiss banks" w:history="1">
        <w:r w:rsidRPr="0068182D">
          <w:rPr>
            <w:rStyle w:val="a5"/>
            <w:color w:val="0B0080"/>
            <w:sz w:val="28"/>
            <w:szCs w:val="28"/>
            <w:lang w:val="en-US"/>
          </w:rPr>
          <w:t>Swiss banks</w:t>
        </w:r>
      </w:hyperlink>
      <w:r w:rsidRPr="0068182D">
        <w:rPr>
          <w:rStyle w:val="apple-converted-space"/>
          <w:rFonts w:eastAsiaTheme="majorEastAsia"/>
          <w:color w:val="252525"/>
          <w:sz w:val="28"/>
          <w:szCs w:val="28"/>
          <w:lang w:val="en-US"/>
        </w:rPr>
        <w:t> </w:t>
      </w:r>
      <w:r w:rsidRPr="0068182D">
        <w:rPr>
          <w:color w:val="252525"/>
          <w:sz w:val="28"/>
          <w:szCs w:val="28"/>
          <w:lang w:val="en-US"/>
        </w:rPr>
        <w:t>for several reasons, including new taxes imposed on Swiss accounts and a weakening of Swiss</w:t>
      </w:r>
      <w:r w:rsidRPr="0068182D">
        <w:rPr>
          <w:rStyle w:val="apple-converted-space"/>
          <w:rFonts w:eastAsiaTheme="majorEastAsia"/>
          <w:color w:val="252525"/>
          <w:sz w:val="28"/>
          <w:szCs w:val="28"/>
          <w:lang w:val="en-US"/>
        </w:rPr>
        <w:t> </w:t>
      </w:r>
      <w:hyperlink r:id="rId407" w:tooltip="Bank secrecy" w:history="1">
        <w:r w:rsidRPr="0068182D">
          <w:rPr>
            <w:rStyle w:val="a5"/>
            <w:color w:val="0B0080"/>
            <w:sz w:val="28"/>
            <w:szCs w:val="28"/>
            <w:lang w:val="en-US"/>
          </w:rPr>
          <w:t>bank secrecy</w:t>
        </w:r>
      </w:hyperlink>
      <w:r w:rsidRPr="0068182D">
        <w:rPr>
          <w:color w:val="252525"/>
          <w:sz w:val="28"/>
          <w:szCs w:val="28"/>
          <w:lang w:val="en-US"/>
        </w:rPr>
        <w:t>.</w:t>
      </w:r>
      <w:r w:rsidRPr="0068182D">
        <w:rPr>
          <w:rStyle w:val="apple-converted-space"/>
          <w:rFonts w:eastAsiaTheme="majorEastAsia"/>
          <w:color w:val="252525"/>
          <w:sz w:val="28"/>
          <w:szCs w:val="28"/>
          <w:lang w:val="en-US"/>
        </w:rPr>
        <w:t> </w:t>
      </w:r>
      <w:hyperlink r:id="rId408" w:tooltip="Credit Suisse" w:history="1">
        <w:r w:rsidRPr="0068182D">
          <w:rPr>
            <w:rStyle w:val="a5"/>
            <w:color w:val="0B0080"/>
            <w:sz w:val="28"/>
            <w:szCs w:val="28"/>
            <w:lang w:val="en-US"/>
          </w:rPr>
          <w:t>Credit Suisse</w:t>
        </w:r>
      </w:hyperlink>
      <w:r w:rsidRPr="0068182D">
        <w:rPr>
          <w:color w:val="252525"/>
          <w:sz w:val="28"/>
          <w:szCs w:val="28"/>
          <w:lang w:val="en-US"/>
        </w:rPr>
        <w:t>, the second largest Swiss bank, moved its head of international</w:t>
      </w:r>
      <w:r w:rsidRPr="0068182D">
        <w:rPr>
          <w:rStyle w:val="apple-converted-space"/>
          <w:rFonts w:eastAsiaTheme="majorEastAsia"/>
          <w:color w:val="252525"/>
          <w:sz w:val="28"/>
          <w:szCs w:val="28"/>
          <w:lang w:val="en-US"/>
        </w:rPr>
        <w:t> </w:t>
      </w:r>
      <w:hyperlink r:id="rId409" w:tooltip="Private banking" w:history="1">
        <w:r w:rsidRPr="0068182D">
          <w:rPr>
            <w:rStyle w:val="a5"/>
            <w:color w:val="0B0080"/>
            <w:sz w:val="28"/>
            <w:szCs w:val="28"/>
            <w:lang w:val="en-US"/>
          </w:rPr>
          <w:t>private banking</w:t>
        </w:r>
      </w:hyperlink>
      <w:r w:rsidRPr="0068182D">
        <w:rPr>
          <w:rStyle w:val="apple-converted-space"/>
          <w:rFonts w:eastAsiaTheme="majorEastAsia"/>
          <w:color w:val="252525"/>
          <w:sz w:val="28"/>
          <w:szCs w:val="28"/>
          <w:lang w:val="en-US"/>
        </w:rPr>
        <w:t> </w:t>
      </w:r>
      <w:r w:rsidRPr="0068182D">
        <w:rPr>
          <w:color w:val="252525"/>
          <w:sz w:val="28"/>
          <w:szCs w:val="28"/>
          <w:lang w:val="en-US"/>
        </w:rPr>
        <w:t>to Singapore in 2005.</w:t>
      </w:r>
    </w:p>
    <w:p w:rsidR="004379E3" w:rsidRPr="0068182D" w:rsidRDefault="00CD577A" w:rsidP="00C40532">
      <w:pPr>
        <w:pStyle w:val="a6"/>
        <w:shd w:val="clear" w:color="auto" w:fill="FFFFFF"/>
        <w:spacing w:before="0" w:beforeAutospacing="0" w:after="0" w:afterAutospacing="0"/>
        <w:ind w:firstLine="709"/>
        <w:jc w:val="both"/>
        <w:rPr>
          <w:color w:val="252525"/>
          <w:sz w:val="28"/>
          <w:szCs w:val="28"/>
          <w:lang w:val="en-US"/>
        </w:rPr>
      </w:pPr>
      <w:hyperlink r:id="rId410" w:tooltip="Tax evasion" w:history="1">
        <w:r w:rsidR="004379E3" w:rsidRPr="0068182D">
          <w:rPr>
            <w:rStyle w:val="a5"/>
            <w:color w:val="0B0080"/>
            <w:sz w:val="28"/>
            <w:szCs w:val="28"/>
            <w:lang w:val="en-US"/>
          </w:rPr>
          <w:t>Tax evasion</w:t>
        </w:r>
      </w:hyperlink>
      <w:r w:rsidR="004379E3" w:rsidRPr="0068182D">
        <w:rPr>
          <w:rStyle w:val="apple-converted-space"/>
          <w:rFonts w:eastAsiaTheme="majorEastAsia"/>
          <w:color w:val="252525"/>
          <w:sz w:val="28"/>
          <w:szCs w:val="28"/>
          <w:lang w:val="en-US"/>
        </w:rPr>
        <w:t> </w:t>
      </w:r>
      <w:r w:rsidR="004379E3" w:rsidRPr="0068182D">
        <w:rPr>
          <w:color w:val="252525"/>
          <w:sz w:val="28"/>
          <w:szCs w:val="28"/>
          <w:lang w:val="en-US"/>
        </w:rPr>
        <w:t>is illegal in Singapore; however, according to an</w:t>
      </w:r>
      <w:r w:rsidR="004379E3" w:rsidRPr="0068182D">
        <w:rPr>
          <w:rStyle w:val="apple-converted-space"/>
          <w:rFonts w:eastAsiaTheme="majorEastAsia"/>
          <w:color w:val="252525"/>
          <w:sz w:val="28"/>
          <w:szCs w:val="28"/>
          <w:lang w:val="en-US"/>
        </w:rPr>
        <w:t> </w:t>
      </w:r>
      <w:hyperlink r:id="rId411" w:tooltip="Organisation for Economic Co-operation and Development" w:history="1">
        <w:r w:rsidR="004379E3" w:rsidRPr="0068182D">
          <w:rPr>
            <w:rStyle w:val="a5"/>
            <w:color w:val="0B0080"/>
            <w:sz w:val="28"/>
            <w:szCs w:val="28"/>
            <w:lang w:val="en-US"/>
          </w:rPr>
          <w:t>Organisation for Economic Co-operation and Development</w:t>
        </w:r>
      </w:hyperlink>
      <w:r w:rsidR="004379E3" w:rsidRPr="0068182D">
        <w:rPr>
          <w:rStyle w:val="apple-converted-space"/>
          <w:rFonts w:eastAsiaTheme="majorEastAsia"/>
          <w:color w:val="252525"/>
          <w:sz w:val="28"/>
          <w:szCs w:val="28"/>
          <w:lang w:val="en-US"/>
        </w:rPr>
        <w:t> </w:t>
      </w:r>
      <w:r w:rsidR="004379E3" w:rsidRPr="0068182D">
        <w:rPr>
          <w:color w:val="252525"/>
          <w:sz w:val="28"/>
          <w:szCs w:val="28"/>
          <w:lang w:val="en-US"/>
        </w:rPr>
        <w:t>official, Singaporean authorities tend to cooperate with other countries' tax authorities only when evasion of Singaporean taxes is involved.</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pStyle w:val="2"/>
        <w:pBdr>
          <w:bottom w:val="single" w:sz="6" w:space="0" w:color="AAAAAA"/>
        </w:pBdr>
        <w:shd w:val="clear" w:color="auto" w:fill="FFFFFF"/>
        <w:spacing w:before="0" w:beforeAutospacing="0" w:after="0" w:afterAutospacing="0"/>
        <w:ind w:firstLine="709"/>
        <w:jc w:val="both"/>
        <w:rPr>
          <w:bCs w:val="0"/>
          <w:color w:val="000000"/>
          <w:sz w:val="28"/>
          <w:szCs w:val="28"/>
          <w:lang w:val="en-US"/>
        </w:rPr>
      </w:pPr>
      <w:r w:rsidRPr="0068182D">
        <w:rPr>
          <w:rStyle w:val="mw-headline"/>
          <w:bCs w:val="0"/>
          <w:color w:val="000000"/>
          <w:sz w:val="28"/>
          <w:szCs w:val="28"/>
          <w:lang w:val="en-US"/>
        </w:rPr>
        <w:t>Public finance</w:t>
      </w:r>
    </w:p>
    <w:p w:rsidR="004379E3" w:rsidRPr="0068182D" w:rsidRDefault="004379E3" w:rsidP="00C40532">
      <w:pPr>
        <w:pStyle w:val="a6"/>
        <w:shd w:val="clear" w:color="auto" w:fill="FFFFFF"/>
        <w:spacing w:before="0" w:beforeAutospacing="0" w:after="0" w:afterAutospacing="0"/>
        <w:ind w:firstLine="709"/>
        <w:jc w:val="both"/>
        <w:rPr>
          <w:color w:val="252525"/>
          <w:sz w:val="28"/>
          <w:szCs w:val="28"/>
          <w:lang w:val="en-US"/>
        </w:rPr>
      </w:pPr>
      <w:r w:rsidRPr="0068182D">
        <w:rPr>
          <w:color w:val="252525"/>
          <w:sz w:val="28"/>
          <w:szCs w:val="28"/>
          <w:lang w:val="en-US"/>
        </w:rPr>
        <w:t>Government spending in Singapore has risen since the start of the global financial crisis, from around 15% of GDP in 2008 to 17% in 2012. The government's total expenditure as a percentage of GDP ranks among the lowest internationally and allows for a competitive tax regime.</w:t>
      </w:r>
      <w:r w:rsidRPr="0068182D">
        <w:rPr>
          <w:rStyle w:val="apple-converted-space"/>
          <w:rFonts w:eastAsiaTheme="majorEastAsia"/>
          <w:color w:val="252525"/>
          <w:sz w:val="28"/>
          <w:szCs w:val="28"/>
          <w:lang w:val="en-US"/>
        </w:rPr>
        <w:t> </w:t>
      </w:r>
      <w:r w:rsidRPr="0068182D">
        <w:rPr>
          <w:color w:val="252525"/>
          <w:sz w:val="28"/>
          <w:szCs w:val="28"/>
          <w:lang w:val="en-US"/>
        </w:rPr>
        <w:t>Singapore is required under its constitution to keep a balanced budget over each term of government. Singapore government debt is issued for investment purposes, not to fund expenditure.</w:t>
      </w:r>
    </w:p>
    <w:p w:rsidR="004379E3" w:rsidRPr="0068182D" w:rsidRDefault="004379E3" w:rsidP="00C40532">
      <w:pPr>
        <w:pStyle w:val="a6"/>
        <w:shd w:val="clear" w:color="auto" w:fill="FFFFFF"/>
        <w:spacing w:before="0" w:beforeAutospacing="0" w:after="0" w:afterAutospacing="0"/>
        <w:ind w:firstLine="709"/>
        <w:jc w:val="both"/>
        <w:rPr>
          <w:color w:val="252525"/>
          <w:sz w:val="28"/>
          <w:szCs w:val="28"/>
          <w:lang w:val="en-US"/>
        </w:rPr>
      </w:pPr>
      <w:r w:rsidRPr="0068182D">
        <w:rPr>
          <w:color w:val="252525"/>
          <w:sz w:val="28"/>
          <w:szCs w:val="28"/>
          <w:lang w:val="en-US"/>
        </w:rPr>
        <w:t>Personal income taxes in Singapore range from 0% to 20% for incomes above S$320,000. There are no capital gains or inheritance taxes in Singapore.</w:t>
      </w:r>
      <w:r w:rsidRPr="0068182D">
        <w:rPr>
          <w:color w:val="252525"/>
          <w:sz w:val="28"/>
          <w:szCs w:val="28"/>
          <w:vertAlign w:val="superscript"/>
          <w:lang w:val="en-US"/>
        </w:rPr>
        <w:t xml:space="preserve"> </w:t>
      </w:r>
      <w:r w:rsidRPr="0068182D">
        <w:rPr>
          <w:color w:val="252525"/>
          <w:sz w:val="28"/>
          <w:szCs w:val="28"/>
          <w:lang w:val="en-US"/>
        </w:rPr>
        <w:t>Singapore's corporate tax rate is 17% with exemptions and incentives for smaller businesses. Singapore has a single-tier corporate income tax system, which means there is no double-taxation for shareholders.</w:t>
      </w:r>
    </w:p>
    <w:p w:rsidR="004379E3" w:rsidRPr="0068182D" w:rsidRDefault="004379E3" w:rsidP="00C40532">
      <w:pPr>
        <w:pStyle w:val="a6"/>
        <w:shd w:val="clear" w:color="auto" w:fill="FFFFFF"/>
        <w:spacing w:before="0" w:beforeAutospacing="0" w:after="0" w:afterAutospacing="0"/>
        <w:ind w:firstLine="709"/>
        <w:jc w:val="both"/>
        <w:rPr>
          <w:sz w:val="28"/>
          <w:szCs w:val="28"/>
          <w:lang w:val="en-US"/>
        </w:rPr>
      </w:pPr>
      <w:r w:rsidRPr="0068182D">
        <w:rPr>
          <w:color w:val="252525"/>
          <w:sz w:val="28"/>
          <w:szCs w:val="28"/>
          <w:lang w:val="en-US"/>
        </w:rPr>
        <w:t xml:space="preserve">Singapore introduced Goods and Services Tax (GST) with an initial rate of 3% on 1 April 1994, increasing government's revenue by S$1.6 billion (US$1b, €800m) and establishing government finances. The taxable GST was increased to 4% in 2003, to 5% in 2004, and to 7% in </w:t>
      </w:r>
      <w:r w:rsidRPr="0068182D">
        <w:rPr>
          <w:sz w:val="28"/>
          <w:szCs w:val="28"/>
          <w:lang w:val="en-US"/>
        </w:rPr>
        <w:t xml:space="preserve">2007. </w:t>
      </w:r>
    </w:p>
    <w:p w:rsidR="004379E3" w:rsidRPr="0068182D" w:rsidRDefault="004379E3" w:rsidP="00C40532">
      <w:pPr>
        <w:pStyle w:val="a6"/>
        <w:shd w:val="clear" w:color="auto" w:fill="FFFFFF"/>
        <w:spacing w:before="0" w:beforeAutospacing="0" w:after="0" w:afterAutospacing="0"/>
        <w:ind w:firstLine="709"/>
        <w:jc w:val="both"/>
        <w:rPr>
          <w:sz w:val="28"/>
          <w:szCs w:val="28"/>
          <w:lang w:val="en-US"/>
        </w:rPr>
      </w:pPr>
      <w:r w:rsidRPr="0068182D">
        <w:rPr>
          <w:sz w:val="28"/>
          <w:szCs w:val="28"/>
          <w:lang w:val="en-US"/>
        </w:rPr>
        <w:t>The Singapore government owns two investment companies,</w:t>
      </w:r>
      <w:r w:rsidRPr="0068182D">
        <w:rPr>
          <w:rStyle w:val="apple-converted-space"/>
          <w:rFonts w:eastAsiaTheme="majorEastAsia"/>
          <w:sz w:val="28"/>
          <w:szCs w:val="28"/>
          <w:lang w:val="en-US"/>
        </w:rPr>
        <w:t> </w:t>
      </w:r>
      <w:hyperlink r:id="rId412" w:tooltip="GIC Private Limited" w:history="1">
        <w:r w:rsidRPr="0068182D">
          <w:rPr>
            <w:rStyle w:val="a5"/>
            <w:color w:val="auto"/>
            <w:sz w:val="28"/>
            <w:szCs w:val="28"/>
            <w:u w:val="none"/>
            <w:lang w:val="en-US"/>
          </w:rPr>
          <w:t>GIC Private Limited</w:t>
        </w:r>
      </w:hyperlink>
      <w:r w:rsidRPr="0068182D">
        <w:rPr>
          <w:rStyle w:val="apple-converted-space"/>
          <w:rFonts w:eastAsiaTheme="majorEastAsia"/>
          <w:sz w:val="28"/>
          <w:szCs w:val="28"/>
          <w:lang w:val="en-US"/>
        </w:rPr>
        <w:t> </w:t>
      </w:r>
      <w:r w:rsidRPr="0068182D">
        <w:rPr>
          <w:sz w:val="28"/>
          <w:szCs w:val="28"/>
          <w:lang w:val="en-US"/>
        </w:rPr>
        <w:t>and</w:t>
      </w:r>
      <w:r w:rsidRPr="0068182D">
        <w:rPr>
          <w:rStyle w:val="apple-converted-space"/>
          <w:rFonts w:eastAsiaTheme="majorEastAsia"/>
          <w:sz w:val="28"/>
          <w:szCs w:val="28"/>
          <w:lang w:val="en-US"/>
        </w:rPr>
        <w:t> </w:t>
      </w:r>
      <w:hyperlink r:id="rId413" w:tooltip="Temasek Holdings" w:history="1">
        <w:r w:rsidRPr="0068182D">
          <w:rPr>
            <w:rStyle w:val="a5"/>
            <w:color w:val="auto"/>
            <w:sz w:val="28"/>
            <w:szCs w:val="28"/>
            <w:u w:val="none"/>
            <w:lang w:val="en-US"/>
          </w:rPr>
          <w:t>Temasek Holdings</w:t>
        </w:r>
      </w:hyperlink>
      <w:r w:rsidRPr="0068182D">
        <w:rPr>
          <w:sz w:val="28"/>
          <w:szCs w:val="28"/>
          <w:lang w:val="en-US"/>
        </w:rPr>
        <w:t>, which manage Singapore's reserves. Both operate as commercial investment holding companies independently of the Singapore government, but Prime Minister Lee Hsien Loong and his wife Ho Ching serve as chairman and CEO of these corporations respectively.</w:t>
      </w:r>
      <w:r w:rsidRPr="0068182D">
        <w:rPr>
          <w:rStyle w:val="apple-converted-space"/>
          <w:rFonts w:eastAsiaTheme="majorEastAsia"/>
          <w:sz w:val="28"/>
          <w:szCs w:val="28"/>
          <w:lang w:val="en-US"/>
        </w:rPr>
        <w:t> </w:t>
      </w:r>
      <w:r w:rsidRPr="0068182D">
        <w:rPr>
          <w:sz w:val="28"/>
          <w:szCs w:val="28"/>
          <w:lang w:val="en-US"/>
        </w:rPr>
        <w:t>While GIC invests abroad, Temasek holds 31% of its portfolio in Singapore, holding majority stakes in several of the nation's largest companies, such as</w:t>
      </w:r>
      <w:r w:rsidRPr="0068182D">
        <w:rPr>
          <w:rStyle w:val="apple-converted-space"/>
          <w:rFonts w:eastAsiaTheme="majorEastAsia"/>
          <w:sz w:val="28"/>
          <w:szCs w:val="28"/>
          <w:lang w:val="en-US"/>
        </w:rPr>
        <w:t> </w:t>
      </w:r>
      <w:hyperlink r:id="rId414" w:tooltip="Singapore Airlines" w:history="1">
        <w:r w:rsidRPr="0068182D">
          <w:rPr>
            <w:rStyle w:val="a5"/>
            <w:color w:val="auto"/>
            <w:sz w:val="28"/>
            <w:szCs w:val="28"/>
            <w:u w:val="none"/>
            <w:lang w:val="en-US"/>
          </w:rPr>
          <w:t>Singapore Airlines</w:t>
        </w:r>
      </w:hyperlink>
      <w:r w:rsidRPr="0068182D">
        <w:rPr>
          <w:sz w:val="28"/>
          <w:szCs w:val="28"/>
          <w:lang w:val="en-US"/>
        </w:rPr>
        <w:t>,</w:t>
      </w:r>
      <w:r w:rsidRPr="0068182D">
        <w:rPr>
          <w:rStyle w:val="apple-converted-space"/>
          <w:rFonts w:eastAsiaTheme="majorEastAsia"/>
          <w:sz w:val="28"/>
          <w:szCs w:val="28"/>
          <w:lang w:val="en-US"/>
        </w:rPr>
        <w:t> </w:t>
      </w:r>
      <w:hyperlink r:id="rId415" w:tooltip="SingTel" w:history="1">
        <w:r w:rsidRPr="0068182D">
          <w:rPr>
            <w:rStyle w:val="a5"/>
            <w:color w:val="auto"/>
            <w:sz w:val="28"/>
            <w:szCs w:val="28"/>
            <w:u w:val="none"/>
            <w:lang w:val="en-US"/>
          </w:rPr>
          <w:t>SingTel</w:t>
        </w:r>
      </w:hyperlink>
      <w:r w:rsidRPr="0068182D">
        <w:rPr>
          <w:sz w:val="28"/>
          <w:szCs w:val="28"/>
          <w:lang w:val="en-US"/>
        </w:rPr>
        <w:t>,</w:t>
      </w:r>
      <w:r w:rsidRPr="0068182D">
        <w:rPr>
          <w:rStyle w:val="apple-converted-space"/>
          <w:rFonts w:eastAsiaTheme="majorEastAsia"/>
          <w:sz w:val="28"/>
          <w:szCs w:val="28"/>
          <w:lang w:val="en-US"/>
        </w:rPr>
        <w:t> </w:t>
      </w:r>
      <w:hyperlink r:id="rId416" w:tooltip="ST Engineering" w:history="1">
        <w:r w:rsidRPr="0068182D">
          <w:rPr>
            <w:rStyle w:val="a5"/>
            <w:color w:val="auto"/>
            <w:sz w:val="28"/>
            <w:szCs w:val="28"/>
            <w:u w:val="none"/>
            <w:lang w:val="en-US"/>
          </w:rPr>
          <w:t>ST Engineering</w:t>
        </w:r>
      </w:hyperlink>
      <w:r w:rsidRPr="0068182D">
        <w:rPr>
          <w:rStyle w:val="apple-converted-space"/>
          <w:rFonts w:eastAsiaTheme="majorEastAsia"/>
          <w:sz w:val="28"/>
          <w:szCs w:val="28"/>
          <w:lang w:val="en-US"/>
        </w:rPr>
        <w:t> </w:t>
      </w:r>
      <w:r w:rsidRPr="0068182D">
        <w:rPr>
          <w:sz w:val="28"/>
          <w:szCs w:val="28"/>
          <w:lang w:val="en-US"/>
        </w:rPr>
        <w:t>and</w:t>
      </w:r>
      <w:r w:rsidRPr="0068182D">
        <w:rPr>
          <w:rStyle w:val="apple-converted-space"/>
          <w:rFonts w:eastAsiaTheme="majorEastAsia"/>
          <w:sz w:val="28"/>
          <w:szCs w:val="28"/>
          <w:lang w:val="en-US"/>
        </w:rPr>
        <w:t> </w:t>
      </w:r>
      <w:hyperlink r:id="rId417" w:tooltip="MediaCorp" w:history="1">
        <w:r w:rsidRPr="0068182D">
          <w:rPr>
            <w:rStyle w:val="a5"/>
            <w:color w:val="auto"/>
            <w:sz w:val="28"/>
            <w:szCs w:val="28"/>
            <w:u w:val="none"/>
            <w:lang w:val="en-US"/>
          </w:rPr>
          <w:t>MediaCorp</w:t>
        </w:r>
      </w:hyperlink>
      <w:r w:rsidRPr="0068182D">
        <w:rPr>
          <w:sz w:val="28"/>
          <w:szCs w:val="28"/>
          <w:lang w:val="en-US"/>
        </w:rPr>
        <w:t>. As of 2014, Temasek holds S$69 billion of assets in Singapore, accounting for 7% of the total capitalisation of Singapore-listed companies.</w:t>
      </w:r>
    </w:p>
    <w:p w:rsidR="004379E3" w:rsidRPr="0068182D" w:rsidRDefault="004379E3" w:rsidP="00C40532">
      <w:pPr>
        <w:pStyle w:val="a6"/>
        <w:shd w:val="clear" w:color="auto" w:fill="FFFFFF"/>
        <w:spacing w:before="0" w:beforeAutospacing="0" w:after="0" w:afterAutospacing="0"/>
        <w:ind w:firstLine="709"/>
        <w:jc w:val="both"/>
        <w:rPr>
          <w:sz w:val="28"/>
          <w:szCs w:val="28"/>
          <w:lang w:val="en-US"/>
        </w:rPr>
      </w:pPr>
      <w:r w:rsidRPr="0068182D">
        <w:rPr>
          <w:sz w:val="28"/>
          <w:szCs w:val="28"/>
          <w:lang w:val="en-US"/>
        </w:rPr>
        <w:t>In April 2013, the country was recognised</w:t>
      </w:r>
      <w:r w:rsidRPr="0068182D">
        <w:rPr>
          <w:rStyle w:val="apple-converted-space"/>
          <w:rFonts w:eastAsiaTheme="majorEastAsia"/>
          <w:sz w:val="28"/>
          <w:szCs w:val="28"/>
          <w:lang w:val="en-US"/>
        </w:rPr>
        <w:t> </w:t>
      </w:r>
      <w:r w:rsidRPr="0068182D">
        <w:rPr>
          <w:sz w:val="28"/>
          <w:szCs w:val="28"/>
          <w:lang w:val="en-US"/>
        </w:rPr>
        <w:t>as an increasingly popular tax haven for the wealthy due to the low tax rate on personal income, a full tax exemption on income that is generated outside of Singapore and 69 double taxation treaties</w:t>
      </w:r>
      <w:r w:rsidRPr="0068182D">
        <w:rPr>
          <w:rStyle w:val="apple-converted-space"/>
          <w:rFonts w:eastAsiaTheme="majorEastAsia"/>
          <w:sz w:val="28"/>
          <w:szCs w:val="28"/>
          <w:lang w:val="en-US"/>
        </w:rPr>
        <w:t> </w:t>
      </w:r>
      <w:r w:rsidRPr="0068182D">
        <w:rPr>
          <w:sz w:val="28"/>
          <w:szCs w:val="28"/>
          <w:lang w:val="en-US"/>
        </w:rPr>
        <w:t>that can minimise both withholding tax and capital gains tax. Australian millionaire retailer</w:t>
      </w:r>
      <w:r w:rsidRPr="0068182D">
        <w:rPr>
          <w:rStyle w:val="apple-converted-space"/>
          <w:rFonts w:eastAsiaTheme="majorEastAsia"/>
          <w:sz w:val="28"/>
          <w:szCs w:val="28"/>
          <w:lang w:val="en-US"/>
        </w:rPr>
        <w:t> </w:t>
      </w:r>
      <w:hyperlink r:id="rId418" w:tooltip="Brett Blundy (page does not exist)" w:history="1">
        <w:r w:rsidRPr="0068182D">
          <w:rPr>
            <w:rStyle w:val="a5"/>
            <w:color w:val="auto"/>
            <w:sz w:val="28"/>
            <w:szCs w:val="28"/>
            <w:u w:val="none"/>
            <w:lang w:val="en-US"/>
          </w:rPr>
          <w:t>Brett Blundy</w:t>
        </w:r>
      </w:hyperlink>
      <w:r w:rsidRPr="0068182D">
        <w:rPr>
          <w:sz w:val="28"/>
          <w:szCs w:val="28"/>
          <w:lang w:val="en-US"/>
        </w:rPr>
        <w:t>, with an estimated personal wealth worth AU$835 million, and multi-billionaire Facebook co-founder</w:t>
      </w:r>
      <w:r w:rsidRPr="0068182D">
        <w:rPr>
          <w:rStyle w:val="apple-converted-space"/>
          <w:rFonts w:eastAsiaTheme="majorEastAsia"/>
          <w:sz w:val="28"/>
          <w:szCs w:val="28"/>
          <w:lang w:val="en-US"/>
        </w:rPr>
        <w:t> </w:t>
      </w:r>
      <w:hyperlink r:id="rId419" w:tooltip="Eduardo Saverin" w:history="1">
        <w:r w:rsidRPr="0068182D">
          <w:rPr>
            <w:rStyle w:val="a5"/>
            <w:color w:val="auto"/>
            <w:sz w:val="28"/>
            <w:szCs w:val="28"/>
            <w:u w:val="none"/>
            <w:lang w:val="en-US"/>
          </w:rPr>
          <w:t>Eduardo Saverin</w:t>
        </w:r>
      </w:hyperlink>
      <w:r w:rsidRPr="0068182D">
        <w:rPr>
          <w:rStyle w:val="apple-converted-space"/>
          <w:rFonts w:eastAsiaTheme="majorEastAsia"/>
          <w:sz w:val="28"/>
          <w:szCs w:val="28"/>
          <w:lang w:val="en-US"/>
        </w:rPr>
        <w:t> </w:t>
      </w:r>
      <w:r w:rsidRPr="0068182D">
        <w:rPr>
          <w:sz w:val="28"/>
          <w:szCs w:val="28"/>
          <w:lang w:val="en-US"/>
        </w:rPr>
        <w:t>are two examples of wealthy individuals who have settled in Singapore (Blundy in 2013 and Saverin in 2012). Additionally, Australian mining magnate</w:t>
      </w:r>
      <w:r w:rsidRPr="0068182D">
        <w:rPr>
          <w:rStyle w:val="apple-converted-space"/>
          <w:rFonts w:eastAsiaTheme="majorEastAsia"/>
          <w:sz w:val="28"/>
          <w:szCs w:val="28"/>
          <w:lang w:val="en-US"/>
        </w:rPr>
        <w:t> </w:t>
      </w:r>
      <w:hyperlink r:id="rId420" w:tooltip="Gina Rinehart" w:history="1">
        <w:r w:rsidRPr="0068182D">
          <w:rPr>
            <w:rStyle w:val="a5"/>
            <w:color w:val="auto"/>
            <w:sz w:val="28"/>
            <w:szCs w:val="28"/>
            <w:u w:val="none"/>
            <w:lang w:val="en-US"/>
          </w:rPr>
          <w:t>Gina Rinehart</w:t>
        </w:r>
      </w:hyperlink>
      <w:r w:rsidRPr="0068182D">
        <w:rPr>
          <w:rStyle w:val="apple-converted-space"/>
          <w:rFonts w:eastAsiaTheme="majorEastAsia"/>
          <w:sz w:val="28"/>
          <w:szCs w:val="28"/>
          <w:lang w:val="en-US"/>
        </w:rPr>
        <w:t> </w:t>
      </w:r>
      <w:r w:rsidRPr="0068182D">
        <w:rPr>
          <w:sz w:val="28"/>
          <w:szCs w:val="28"/>
          <w:lang w:val="en-US"/>
        </w:rPr>
        <w:t>owns property in Singapore</w:t>
      </w:r>
      <w:r w:rsidRPr="0068182D">
        <w:rPr>
          <w:rStyle w:val="apple-converted-space"/>
          <w:rFonts w:eastAsiaTheme="majorEastAsia"/>
          <w:sz w:val="28"/>
          <w:szCs w:val="28"/>
          <w:lang w:val="en-US"/>
        </w:rPr>
        <w:t> </w:t>
      </w:r>
      <w:r w:rsidRPr="0068182D">
        <w:rPr>
          <w:sz w:val="28"/>
          <w:szCs w:val="28"/>
          <w:lang w:val="en-US"/>
        </w:rPr>
        <w:t>and American investor</w:t>
      </w:r>
      <w:r w:rsidRPr="0068182D">
        <w:rPr>
          <w:rStyle w:val="apple-converted-space"/>
          <w:rFonts w:eastAsiaTheme="majorEastAsia"/>
          <w:sz w:val="28"/>
          <w:szCs w:val="28"/>
          <w:lang w:val="en-US"/>
        </w:rPr>
        <w:t> </w:t>
      </w:r>
      <w:hyperlink r:id="rId421" w:tooltip="Jim Rogers" w:history="1">
        <w:r w:rsidRPr="0068182D">
          <w:rPr>
            <w:rStyle w:val="a5"/>
            <w:color w:val="auto"/>
            <w:sz w:val="28"/>
            <w:szCs w:val="28"/>
            <w:u w:val="none"/>
            <w:lang w:val="en-US"/>
          </w:rPr>
          <w:t>Jim Rogers</w:t>
        </w:r>
      </w:hyperlink>
      <w:r w:rsidRPr="0068182D">
        <w:rPr>
          <w:rStyle w:val="apple-converted-space"/>
          <w:rFonts w:eastAsiaTheme="majorEastAsia"/>
          <w:sz w:val="28"/>
          <w:szCs w:val="28"/>
          <w:lang w:val="en-US"/>
        </w:rPr>
        <w:t> </w:t>
      </w:r>
      <w:r w:rsidRPr="0068182D">
        <w:rPr>
          <w:sz w:val="28"/>
          <w:szCs w:val="28"/>
          <w:lang w:val="en-US"/>
        </w:rPr>
        <w:t>moved to Singapore in 2007—Rogers has identified the 21st century as an era in which Asia will dominate and wishes for his two daughters to learn Mandarin as a key outcome of the relocation.</w:t>
      </w:r>
      <w:r w:rsidRPr="0068182D">
        <w:rPr>
          <w:rStyle w:val="apple-converted-space"/>
          <w:rFonts w:eastAsiaTheme="majorEastAsia"/>
          <w:sz w:val="28"/>
          <w:szCs w:val="28"/>
          <w:lang w:val="en-US"/>
        </w:rPr>
        <w:t> </w:t>
      </w:r>
      <w:r w:rsidRPr="0068182D">
        <w:rPr>
          <w:sz w:val="28"/>
          <w:szCs w:val="28"/>
          <w:lang w:val="en-US"/>
        </w:rPr>
        <w:t xml:space="preserve">Chinese Media TV celebrities Jet Li and Gong Li have also taken up naturalised Singapore citizenship. </w:t>
      </w:r>
    </w:p>
    <w:p w:rsidR="004379E3" w:rsidRPr="0068182D" w:rsidRDefault="004379E3" w:rsidP="00C40532">
      <w:pPr>
        <w:pStyle w:val="2"/>
        <w:pBdr>
          <w:bottom w:val="single" w:sz="6" w:space="0" w:color="AAAAAA"/>
        </w:pBdr>
        <w:shd w:val="clear" w:color="auto" w:fill="FFFFFF"/>
        <w:spacing w:before="0" w:beforeAutospacing="0" w:after="0" w:afterAutospacing="0"/>
        <w:ind w:firstLine="709"/>
        <w:jc w:val="both"/>
        <w:rPr>
          <w:rStyle w:val="mw-headline"/>
          <w:b w:val="0"/>
          <w:bCs w:val="0"/>
          <w:sz w:val="28"/>
          <w:szCs w:val="28"/>
          <w:lang w:val="en-US"/>
        </w:rPr>
      </w:pPr>
    </w:p>
    <w:p w:rsidR="004379E3" w:rsidRPr="0068182D" w:rsidRDefault="004379E3" w:rsidP="00C40532">
      <w:pPr>
        <w:pStyle w:val="2"/>
        <w:pBdr>
          <w:bottom w:val="single" w:sz="6" w:space="0" w:color="AAAAAA"/>
        </w:pBdr>
        <w:shd w:val="clear" w:color="auto" w:fill="FFFFFF"/>
        <w:spacing w:before="0" w:beforeAutospacing="0" w:after="0" w:afterAutospacing="0"/>
        <w:ind w:firstLine="709"/>
        <w:jc w:val="both"/>
        <w:rPr>
          <w:bCs w:val="0"/>
          <w:sz w:val="28"/>
          <w:szCs w:val="28"/>
          <w:lang w:val="en-US"/>
        </w:rPr>
      </w:pPr>
      <w:r w:rsidRPr="0068182D">
        <w:rPr>
          <w:rStyle w:val="mw-headline"/>
          <w:bCs w:val="0"/>
          <w:sz w:val="28"/>
          <w:szCs w:val="28"/>
          <w:lang w:val="en-US"/>
        </w:rPr>
        <w:t>Monetary policy</w:t>
      </w:r>
    </w:p>
    <w:p w:rsidR="004379E3" w:rsidRPr="0068182D" w:rsidRDefault="004379E3" w:rsidP="00C40532">
      <w:pPr>
        <w:pStyle w:val="a6"/>
        <w:shd w:val="clear" w:color="auto" w:fill="FFFFFF"/>
        <w:spacing w:before="0" w:beforeAutospacing="0" w:after="0" w:afterAutospacing="0"/>
        <w:ind w:firstLine="709"/>
        <w:jc w:val="both"/>
        <w:rPr>
          <w:color w:val="252525"/>
          <w:sz w:val="28"/>
          <w:szCs w:val="28"/>
          <w:lang w:val="en-US"/>
        </w:rPr>
      </w:pPr>
      <w:r w:rsidRPr="0068182D">
        <w:rPr>
          <w:sz w:val="28"/>
          <w:szCs w:val="28"/>
          <w:lang w:val="en-US"/>
        </w:rPr>
        <w:t>The</w:t>
      </w:r>
      <w:r w:rsidRPr="0068182D">
        <w:rPr>
          <w:rStyle w:val="apple-converted-space"/>
          <w:rFonts w:eastAsiaTheme="majorEastAsia"/>
          <w:sz w:val="28"/>
          <w:szCs w:val="28"/>
          <w:lang w:val="en-US"/>
        </w:rPr>
        <w:t> </w:t>
      </w:r>
      <w:hyperlink r:id="rId422" w:tooltip="Monetary Authority of Singapore" w:history="1">
        <w:r w:rsidRPr="0068182D">
          <w:rPr>
            <w:rStyle w:val="a5"/>
            <w:color w:val="auto"/>
            <w:sz w:val="28"/>
            <w:szCs w:val="28"/>
            <w:u w:val="none"/>
            <w:lang w:val="en-US"/>
          </w:rPr>
          <w:t>Monetary Authority of Singapore</w:t>
        </w:r>
      </w:hyperlink>
      <w:r w:rsidRPr="0068182D">
        <w:rPr>
          <w:rStyle w:val="apple-converted-space"/>
          <w:rFonts w:eastAsiaTheme="majorEastAsia"/>
          <w:sz w:val="28"/>
          <w:szCs w:val="28"/>
          <w:lang w:val="en-US"/>
        </w:rPr>
        <w:t> </w:t>
      </w:r>
      <w:r w:rsidRPr="0068182D">
        <w:rPr>
          <w:sz w:val="28"/>
          <w:szCs w:val="28"/>
          <w:lang w:val="en-US"/>
        </w:rPr>
        <w:t>is Singapore's</w:t>
      </w:r>
      <w:r w:rsidRPr="0068182D">
        <w:rPr>
          <w:rStyle w:val="apple-converted-space"/>
          <w:rFonts w:eastAsiaTheme="majorEastAsia"/>
          <w:sz w:val="28"/>
          <w:szCs w:val="28"/>
          <w:lang w:val="en-US"/>
        </w:rPr>
        <w:t> </w:t>
      </w:r>
      <w:hyperlink r:id="rId423" w:tooltip="Central bank" w:history="1">
        <w:r w:rsidRPr="0068182D">
          <w:rPr>
            <w:rStyle w:val="a5"/>
            <w:color w:val="auto"/>
            <w:sz w:val="28"/>
            <w:szCs w:val="28"/>
            <w:u w:val="none"/>
            <w:lang w:val="en-US"/>
          </w:rPr>
          <w:t>central bank</w:t>
        </w:r>
      </w:hyperlink>
      <w:r w:rsidRPr="0068182D">
        <w:rPr>
          <w:rStyle w:val="apple-converted-space"/>
          <w:rFonts w:eastAsiaTheme="majorEastAsia"/>
          <w:sz w:val="28"/>
          <w:szCs w:val="28"/>
          <w:lang w:val="en-US"/>
        </w:rPr>
        <w:t> </w:t>
      </w:r>
      <w:r w:rsidRPr="0068182D">
        <w:rPr>
          <w:sz w:val="28"/>
          <w:szCs w:val="28"/>
          <w:lang w:val="en-US"/>
        </w:rPr>
        <w:t>and</w:t>
      </w:r>
      <w:r w:rsidRPr="0068182D">
        <w:rPr>
          <w:rStyle w:val="apple-converted-space"/>
          <w:rFonts w:eastAsiaTheme="majorEastAsia"/>
          <w:sz w:val="28"/>
          <w:szCs w:val="28"/>
          <w:lang w:val="en-US"/>
        </w:rPr>
        <w:t> </w:t>
      </w:r>
      <w:hyperlink r:id="rId424" w:tooltip="Financial regulation" w:history="1">
        <w:r w:rsidRPr="0068182D">
          <w:rPr>
            <w:rStyle w:val="a5"/>
            <w:color w:val="auto"/>
            <w:sz w:val="28"/>
            <w:szCs w:val="28"/>
            <w:u w:val="none"/>
            <w:lang w:val="en-US"/>
          </w:rPr>
          <w:t>financial regulatory</w:t>
        </w:r>
      </w:hyperlink>
      <w:r w:rsidRPr="0068182D">
        <w:rPr>
          <w:rStyle w:val="apple-converted-space"/>
          <w:rFonts w:eastAsiaTheme="majorEastAsia"/>
          <w:sz w:val="28"/>
          <w:szCs w:val="28"/>
          <w:lang w:val="en-US"/>
        </w:rPr>
        <w:t> </w:t>
      </w:r>
      <w:r w:rsidRPr="0068182D">
        <w:rPr>
          <w:sz w:val="28"/>
          <w:szCs w:val="28"/>
          <w:lang w:val="en-US"/>
        </w:rPr>
        <w:t>authority. It administers the various statutes pertaining to money, banking, insurance, securities and the financial sector in general, as well as</w:t>
      </w:r>
      <w:r w:rsidRPr="0068182D">
        <w:rPr>
          <w:rStyle w:val="apple-converted-space"/>
          <w:rFonts w:eastAsiaTheme="majorEastAsia"/>
          <w:sz w:val="28"/>
          <w:szCs w:val="28"/>
          <w:lang w:val="en-US"/>
        </w:rPr>
        <w:t> </w:t>
      </w:r>
      <w:hyperlink r:id="rId425" w:tooltip="Singapore dollar" w:history="1">
        <w:r w:rsidRPr="0068182D">
          <w:rPr>
            <w:rStyle w:val="a5"/>
            <w:color w:val="auto"/>
            <w:sz w:val="28"/>
            <w:szCs w:val="28"/>
            <w:u w:val="none"/>
            <w:lang w:val="en-US"/>
          </w:rPr>
          <w:t>currency issuance</w:t>
        </w:r>
      </w:hyperlink>
      <w:r w:rsidRPr="0068182D">
        <w:rPr>
          <w:sz w:val="28"/>
          <w:szCs w:val="28"/>
          <w:lang w:val="en-US"/>
        </w:rPr>
        <w:t>. The MAS has been given powers to act as a banker to and financial agent of the Government. It has also been entrusted to</w:t>
      </w:r>
      <w:r w:rsidRPr="0068182D">
        <w:rPr>
          <w:color w:val="252525"/>
          <w:sz w:val="28"/>
          <w:szCs w:val="28"/>
          <w:lang w:val="en-US"/>
        </w:rPr>
        <w:t xml:space="preserve"> promote monetary stability, and credit and exchange policies conducive to the growth of the economy.</w:t>
      </w:r>
    </w:p>
    <w:p w:rsidR="004379E3" w:rsidRPr="0068182D" w:rsidRDefault="004379E3" w:rsidP="00C40532">
      <w:pPr>
        <w:pStyle w:val="a6"/>
        <w:shd w:val="clear" w:color="auto" w:fill="FFFFFF"/>
        <w:spacing w:before="0" w:beforeAutospacing="0" w:after="0" w:afterAutospacing="0"/>
        <w:ind w:firstLine="709"/>
        <w:jc w:val="both"/>
        <w:rPr>
          <w:color w:val="252525"/>
          <w:sz w:val="28"/>
          <w:szCs w:val="28"/>
          <w:lang w:val="en-US"/>
        </w:rPr>
      </w:pPr>
      <w:r w:rsidRPr="0068182D">
        <w:rPr>
          <w:color w:val="252525"/>
          <w:sz w:val="28"/>
          <w:szCs w:val="28"/>
          <w:lang w:val="en-US"/>
        </w:rPr>
        <w:t>Unlike many other central banks such as</w:t>
      </w:r>
      <w:r w:rsidRPr="0068182D">
        <w:rPr>
          <w:rStyle w:val="apple-converted-space"/>
          <w:rFonts w:eastAsiaTheme="majorEastAsia"/>
          <w:color w:val="252525"/>
          <w:sz w:val="28"/>
          <w:szCs w:val="28"/>
          <w:lang w:val="en-US"/>
        </w:rPr>
        <w:t> </w:t>
      </w:r>
      <w:hyperlink r:id="rId426" w:tooltip="Federal Reserve System" w:history="1">
        <w:r w:rsidRPr="0068182D">
          <w:rPr>
            <w:rStyle w:val="a5"/>
            <w:color w:val="0B0080"/>
            <w:sz w:val="28"/>
            <w:szCs w:val="28"/>
            <w:lang w:val="en-US"/>
          </w:rPr>
          <w:t>Federal Reserve System</w:t>
        </w:r>
      </w:hyperlink>
      <w:r w:rsidRPr="0068182D">
        <w:rPr>
          <w:rStyle w:val="apple-converted-space"/>
          <w:rFonts w:eastAsiaTheme="majorEastAsia"/>
          <w:color w:val="252525"/>
          <w:sz w:val="28"/>
          <w:szCs w:val="28"/>
          <w:lang w:val="en-US"/>
        </w:rPr>
        <w:t> </w:t>
      </w:r>
      <w:r w:rsidRPr="0068182D">
        <w:rPr>
          <w:color w:val="252525"/>
          <w:sz w:val="28"/>
          <w:szCs w:val="28"/>
          <w:lang w:val="en-US"/>
        </w:rPr>
        <w:t>or</w:t>
      </w:r>
      <w:r w:rsidRPr="0068182D">
        <w:rPr>
          <w:rStyle w:val="apple-converted-space"/>
          <w:rFonts w:eastAsiaTheme="majorEastAsia"/>
          <w:color w:val="252525"/>
          <w:sz w:val="28"/>
          <w:szCs w:val="28"/>
          <w:lang w:val="en-US"/>
        </w:rPr>
        <w:t> </w:t>
      </w:r>
      <w:hyperlink r:id="rId427" w:tooltip="Bank of England" w:history="1">
        <w:r w:rsidRPr="0068182D">
          <w:rPr>
            <w:rStyle w:val="a5"/>
            <w:color w:val="0B0080"/>
            <w:sz w:val="28"/>
            <w:szCs w:val="28"/>
            <w:lang w:val="en-US"/>
          </w:rPr>
          <w:t>Bank of England</w:t>
        </w:r>
      </w:hyperlink>
      <w:r w:rsidRPr="0068182D">
        <w:rPr>
          <w:color w:val="252525"/>
          <w:sz w:val="28"/>
          <w:szCs w:val="28"/>
          <w:lang w:val="en-US"/>
        </w:rPr>
        <w:t>, MAS does not regulate the monetary system via interest rates to influence the liquidity in the system. Instead, it chooses to do it via the foreign exchange mechanism. It does so by intervening in the SGD market.</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pStyle w:val="a6"/>
        <w:shd w:val="clear" w:color="auto" w:fill="FFFFFF"/>
        <w:spacing w:before="0" w:beforeAutospacing="0" w:after="0" w:afterAutospacing="0"/>
        <w:ind w:firstLine="709"/>
        <w:jc w:val="both"/>
        <w:textAlignment w:val="baseline"/>
        <w:rPr>
          <w:b/>
          <w:bCs/>
          <w:color w:val="333333"/>
          <w:sz w:val="28"/>
          <w:szCs w:val="28"/>
          <w:bdr w:val="none" w:sz="0" w:space="0" w:color="auto" w:frame="1"/>
          <w:lang w:val="en-US"/>
        </w:rPr>
      </w:pPr>
      <w:r w:rsidRPr="0068182D">
        <w:rPr>
          <w:b/>
          <w:bCs/>
          <w:color w:val="333333"/>
          <w:sz w:val="28"/>
          <w:szCs w:val="28"/>
          <w:bdr w:val="none" w:sz="0" w:space="0" w:color="auto" w:frame="1"/>
          <w:lang w:val="en-US"/>
        </w:rPr>
        <w:t>Overview of Singapore's finance industry</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Singapore’s banking system is among the strongest in the world. The banking sector is engaged in a wide range of financial services including traditional lending and deposit-taking functions as well as corporate and investment banking activities. As at March 2005, there were 110 commercial banks, 47 merchant banks and 3 financial companies in the financial sector, with the total assets of commercial banks standing at S$413 billion. 6 banks have been awarded Qualifying Full Bank Licenses.</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The Asian Dollar Market (ADM) is an offshore banking sector whose transactions are primarily US$ denominated. The ADM is an important feature of Singapore’s financial landscape that has played a significant role in Asia’s economic development. Through the ADM, financial institutions play a key role in channelling surplus funds from regional and international financial markets to finance development projects in the region. Since its launch in 1968, the ADM has grown by about 15 times. The total assets in the ADM reached a record high of US$582 billion in December 2004.</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Singapore has the fourth largest foreign exchange market in the world after London, New York and Tokyo, and is widely recognized for its strength as a forex trading hub. Its daily trading volume in 2004 averaged about US$156.6 billion.</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The bond market in Singapore has grown significantly since 1998 when several new initiatives were introduced. To build more market depth and liquidity, more Singapore Government Securities (SGS) were issued. Rules relating to the use of the Singapore Dollar by foreign entities were also liberalized to let foreign players participate more actively in issuing Singapore Dollar bonds. The SGS market reached an important milestone in January 2005 when it became the only Asian country besides Japan to join the prestigious Citigroup World Bond Index (WGBI).</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The Singapore Exchange (SGX) is the first demutualized, integrated securities and derivatives exchange in the Asia-Pacific. SGX’s derivatives exchange is one of the largest in Asia and is consistently ranked as the “Derivatives Exchange of the Year” by various leading financial journals. SGX’s derivatives market is also the first Asian exchange to offer Eurodollar futures. By the of 2004, a total of 462 companies were listed on the mainboard and 163 companies were listed on SESDAQ.</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Singapore is acknowledged as a premier Asian asset management centre, with more than 200 international asset management firms, including 30 of the top 50 US and European fund houses, to serve the Asia-Pacific market. Many asset management companies have expanded services in Singapore to include more than just portfolio management, and have now set up research arms, regional trading desks, as well as centralized middle and back offices functions. Over the last decade, the industry has registered an average annual growth of 28% in assets under management (AUMs).</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Many of the world’s leading names in insurance broking, captive management and risk management are present in Singapore, with numerous re-insurers and captive insurers using Singapore as a base to underwrite risks from the region, in addition to meeting the needs of the domestic market. The offshore insurance business has become a major component of the industry, accounting for more than half of the total general insurance business.</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p>
    <w:p w:rsidR="004379E3" w:rsidRPr="0068182D" w:rsidRDefault="004379E3" w:rsidP="00C40532">
      <w:pPr>
        <w:pStyle w:val="a6"/>
        <w:shd w:val="clear" w:color="auto" w:fill="FFFFFF"/>
        <w:spacing w:before="0" w:beforeAutospacing="0" w:after="0" w:afterAutospacing="0"/>
        <w:ind w:firstLine="709"/>
        <w:jc w:val="both"/>
        <w:textAlignment w:val="baseline"/>
        <w:rPr>
          <w:b/>
          <w:bCs/>
          <w:color w:val="333333"/>
          <w:sz w:val="28"/>
          <w:szCs w:val="28"/>
          <w:bdr w:val="none" w:sz="0" w:space="0" w:color="auto" w:frame="1"/>
          <w:lang w:val="en-US"/>
        </w:rPr>
      </w:pPr>
      <w:r w:rsidRPr="0068182D">
        <w:rPr>
          <w:b/>
          <w:bCs/>
          <w:color w:val="333333"/>
          <w:sz w:val="28"/>
          <w:szCs w:val="28"/>
          <w:bdr w:val="none" w:sz="0" w:space="0" w:color="auto" w:frame="1"/>
          <w:lang w:val="en-US"/>
        </w:rPr>
        <w:t>Singapore VS. Hongkong</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Singapore is not the only major financial centre in the Asia-Pacific. Within this region, rising stars such as Mumbai and Shanghai are making rapid progress towards becoming important financial centres as well. For the moment though, Singapore and Hong Kong are still considered the two most important centres in the region. Like Singapore, Hong Kong is politically stable and is endowed with well-developed financial and legal systems. But significant differences do exist between the two cities, enough for each city develop its own niche instead of competing directly against each other.</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Hong Kong’s proximity to mainland China and Taiwan, and its predominant Chinese population (98%), makes it the natural choice for clients from both territories. The explosion of wealthy individuals in China ensures that Hong Kong has relatively easy access to a growing pool of rich clients. Hong Kong enjoys an obvious advantage over other financial centres when it comes to serving the Greater China market.</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This does not mean that Singapore has lost out. On the contrary, Singapore holds an edge over Hong Kong when it comes to cultural diversity. Members of the all the major races in the region are represented in Singapore, and this diversity allows Singapore to market itself effectively to all the different countries in the region. In fact, Singapore is now beginning to venture outside of Southeast Asia, and its wealth managers have been reaching out to clients as far away as India, the Middle East and Eastern Europe.</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It is clear therefore that Hong Kong and Singapore can co-exist as major financial centres, because they are each operating in very different markets. The MAS has estimated there is perhaps room for only two major centres in Asia-Pacific outside of Japan, so every effort has been taken to ensure that Singapore remains a destination of choice for international capital heading to the region.</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Regulatory Framework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market is controlled and supervised by the Monetary Authority of Singapore (MAS), the central bank and financial regulatory authority of Singapore. This provides transparency, fair dealing conditions and maintains a stable financial system. Furthermore, the IRAS (Inland Revenue Authority Singapore), another statutory board member of the Singapore government, plays a complementary role in ensuring that tax rules and laws are kept in tandem with the growth and development of the financial sector. An additional supervising organization is the Institute of Banking and Finance (IBF) which is a national accreditation and certification agency for financial industry competency under the Financial Industry Competency Standards (FICS) framework.</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Major players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Here is a list of various banks in Singapore: </w:t>
      </w:r>
    </w:p>
    <w:tbl>
      <w:tblPr>
        <w:tblStyle w:val="a8"/>
        <w:tblW w:w="0" w:type="auto"/>
        <w:tblLook w:val="04A0"/>
      </w:tblPr>
      <w:tblGrid>
        <w:gridCol w:w="3190"/>
        <w:gridCol w:w="3190"/>
        <w:gridCol w:w="3191"/>
      </w:tblGrid>
      <w:tr w:rsidR="004379E3" w:rsidRPr="0068182D" w:rsidTr="00BE3110">
        <w:tc>
          <w:tcPr>
            <w:tcW w:w="3190" w:type="dxa"/>
          </w:tcPr>
          <w:p w:rsidR="004379E3" w:rsidRPr="0068182D" w:rsidRDefault="004379E3" w:rsidP="00C40532">
            <w:pPr>
              <w:jc w:val="both"/>
              <w:rPr>
                <w:rFonts w:ascii="Times New Roman" w:hAnsi="Times New Roman" w:cs="Times New Roman"/>
                <w:sz w:val="28"/>
                <w:szCs w:val="28"/>
              </w:rPr>
            </w:pPr>
            <w:r w:rsidRPr="0068182D">
              <w:rPr>
                <w:rFonts w:ascii="Times New Roman" w:hAnsi="Times New Roman" w:cs="Times New Roman"/>
                <w:sz w:val="28"/>
                <w:szCs w:val="28"/>
                <w:lang w:val="en-US"/>
              </w:rPr>
              <w:t>Singaporean banks</w:t>
            </w:r>
          </w:p>
        </w:tc>
        <w:tc>
          <w:tcPr>
            <w:tcW w:w="3190" w:type="dxa"/>
          </w:tcPr>
          <w:p w:rsidR="004379E3" w:rsidRPr="0068182D" w:rsidRDefault="004379E3" w:rsidP="00C40532">
            <w:pPr>
              <w:jc w:val="both"/>
              <w:rPr>
                <w:rFonts w:ascii="Times New Roman" w:hAnsi="Times New Roman" w:cs="Times New Roman"/>
                <w:sz w:val="28"/>
                <w:szCs w:val="28"/>
              </w:rPr>
            </w:pPr>
            <w:r w:rsidRPr="0068182D">
              <w:rPr>
                <w:rFonts w:ascii="Times New Roman" w:hAnsi="Times New Roman" w:cs="Times New Roman"/>
                <w:sz w:val="28"/>
                <w:szCs w:val="28"/>
                <w:lang w:val="en-US"/>
              </w:rPr>
              <w:t>International banks</w:t>
            </w:r>
          </w:p>
        </w:tc>
        <w:tc>
          <w:tcPr>
            <w:tcW w:w="3191" w:type="dxa"/>
          </w:tcPr>
          <w:p w:rsidR="004379E3" w:rsidRPr="0068182D" w:rsidRDefault="004379E3" w:rsidP="00C40532">
            <w:pPr>
              <w:jc w:val="both"/>
              <w:rPr>
                <w:rFonts w:ascii="Times New Roman" w:hAnsi="Times New Roman" w:cs="Times New Roman"/>
                <w:sz w:val="28"/>
                <w:szCs w:val="28"/>
              </w:rPr>
            </w:pPr>
            <w:r w:rsidRPr="0068182D">
              <w:rPr>
                <w:rFonts w:ascii="Times New Roman" w:hAnsi="Times New Roman" w:cs="Times New Roman"/>
                <w:sz w:val="28"/>
                <w:szCs w:val="28"/>
                <w:lang w:val="en-US"/>
              </w:rPr>
              <w:t>German banks</w:t>
            </w:r>
          </w:p>
        </w:tc>
      </w:tr>
      <w:tr w:rsidR="004379E3" w:rsidRPr="0068182D" w:rsidTr="00BE3110">
        <w:tc>
          <w:tcPr>
            <w:tcW w:w="3190" w:type="dxa"/>
          </w:tcPr>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DBS (Development Bank of Singapore)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UOB (United Overseas Bank)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OCBC (Overseas Chinese Banking Corporation) </w:t>
            </w:r>
          </w:p>
          <w:p w:rsidR="004379E3" w:rsidRPr="0068182D" w:rsidRDefault="004379E3" w:rsidP="00C40532">
            <w:pPr>
              <w:jc w:val="both"/>
              <w:rPr>
                <w:rFonts w:ascii="Times New Roman" w:hAnsi="Times New Roman" w:cs="Times New Roman"/>
                <w:sz w:val="28"/>
                <w:szCs w:val="28"/>
                <w:lang w:val="en-US"/>
              </w:rPr>
            </w:pP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(According to BankScope – a world banking information source - these are the top 3 banks in Singapore based on asset.)</w:t>
            </w:r>
          </w:p>
        </w:tc>
        <w:tc>
          <w:tcPr>
            <w:tcW w:w="3190" w:type="dxa"/>
          </w:tcPr>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HSBC (Hong Kong &amp; Shanghai Banking Corp)</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 Bank Of Tokyo-Mitsubishi Ltd</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 Credit Suisse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Bank of China</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 Citibank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Bangkok Bank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Bank of India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Bank of Taiwan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Commonwealth Bank of Australia</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 Royal Bank of Canada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Standard Chartered Bank</w:t>
            </w:r>
          </w:p>
        </w:tc>
        <w:tc>
          <w:tcPr>
            <w:tcW w:w="3191" w:type="dxa"/>
          </w:tcPr>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Deutsche Bank AG</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 LBBW</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 Commerzbank AG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UniCredit Bank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HSH Nordbank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Nord/LB </w:t>
            </w:r>
          </w:p>
          <w:p w:rsidR="004379E3" w:rsidRPr="0068182D" w:rsidRDefault="004379E3" w:rsidP="00C40532">
            <w:pPr>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DZ Bank AG/ DZ Privatbank</w:t>
            </w:r>
          </w:p>
          <w:p w:rsidR="004379E3" w:rsidRPr="0068182D" w:rsidRDefault="004379E3" w:rsidP="00C40532">
            <w:pPr>
              <w:jc w:val="both"/>
              <w:rPr>
                <w:rFonts w:ascii="Times New Roman" w:hAnsi="Times New Roman" w:cs="Times New Roman"/>
                <w:sz w:val="28"/>
                <w:szCs w:val="28"/>
                <w:lang w:val="en-US"/>
              </w:rPr>
            </w:pPr>
          </w:p>
        </w:tc>
      </w:tr>
    </w:tbl>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0537F4">
      <w:pPr>
        <w:pStyle w:val="a4"/>
        <w:numPr>
          <w:ilvl w:val="0"/>
          <w:numId w:val="20"/>
        </w:numPr>
        <w:spacing w:after="0" w:line="240" w:lineRule="auto"/>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The state 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and the structure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costs and revenues.</w:t>
      </w:r>
    </w:p>
    <w:p w:rsidR="004379E3" w:rsidRPr="0068182D" w:rsidRDefault="004379E3" w:rsidP="00C40532">
      <w:pPr>
        <w:spacing w:after="0" w:line="240" w:lineRule="auto"/>
        <w:jc w:val="both"/>
        <w:rPr>
          <w:rFonts w:ascii="Times New Roman" w:hAnsi="Times New Roman" w:cs="Times New Roman"/>
          <w:sz w:val="28"/>
          <w:szCs w:val="28"/>
          <w:lang w:val="en-US"/>
        </w:rPr>
      </w:pP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public finance system of Singapore consists of four “pillars”: the budget sector itself; the Central Provident Fund; the government investment agencies; and various special funds not consolidated into the budget. The budget process is characterised by close interministerial co-operation and the use of constitutional fiscal rules, spending ceilings for ministries (“block budgets”), across-the-board budget extractions (spending cuts), endowment funds, central manpower controls, and continual underspending. Parliament has a limited role. The President of the Republic has an important role as “fiscal guardian”. The article describes these particular features of the Singapore budget process, and discusses other elements of budget implementation and government management such as the organisational structure of the government, the execution of budget appropriations, personnel management, financial management and reporting, and performance and results initiatives.</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order to understand the architecture of Singapore’s public finance system, it is useful to think of it as consisting of four “pillars”: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first is the budget sector itself.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second is the Central Provident Fund, which takes on the funding of many social services traditionally undertaken by the budget sector in OECD countries.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third is the government investment agencies. They manage the extensive surpluses generated by the budget sector and the Central Provident Fund over the years and yield significant annual investment incomes.</w:t>
      </w:r>
    </w:p>
    <w:p w:rsidR="004379E3" w:rsidRPr="0068182D" w:rsidRDefault="004379E3" w:rsidP="00C40532">
      <w:pPr>
        <w:spacing w:after="0" w:line="240" w:lineRule="auto"/>
        <w:ind w:firstLine="709"/>
        <w:jc w:val="both"/>
        <w:rPr>
          <w:rStyle w:val="hps"/>
          <w:rFonts w:ascii="Times New Roman" w:hAnsi="Times New Roman" w:cs="Times New Roman"/>
          <w:sz w:val="28"/>
          <w:szCs w:val="28"/>
          <w:lang w:val="en-US"/>
        </w:rPr>
      </w:pPr>
      <w:r w:rsidRPr="0068182D">
        <w:rPr>
          <w:rFonts w:ascii="Times New Roman" w:hAnsi="Times New Roman" w:cs="Times New Roman"/>
          <w:sz w:val="28"/>
          <w:szCs w:val="28"/>
          <w:lang w:val="en-US"/>
        </w:rPr>
        <w:t>The fourth is the operation of various special funds that are not consolidated into the government’s overall budget position.</w:t>
      </w: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Central Provident Fund</w:t>
      </w:r>
    </w:p>
    <w:p w:rsidR="004379E3" w:rsidRPr="0068182D" w:rsidRDefault="004379E3" w:rsidP="00C40532">
      <w:pPr>
        <w:spacing w:after="0" w:line="240" w:lineRule="auto"/>
        <w:ind w:firstLine="709"/>
        <w:jc w:val="both"/>
        <w:rPr>
          <w:rStyle w:val="hps"/>
          <w:rFonts w:ascii="Times New Roman" w:hAnsi="Times New Roman" w:cs="Times New Roman"/>
          <w:sz w:val="28"/>
          <w:szCs w:val="28"/>
          <w:lang w:val="en-US"/>
        </w:rPr>
      </w:pPr>
      <w:r w:rsidRPr="0068182D">
        <w:rPr>
          <w:rFonts w:ascii="Times New Roman" w:hAnsi="Times New Roman" w:cs="Times New Roman"/>
          <w:sz w:val="28"/>
          <w:szCs w:val="28"/>
          <w:lang w:val="en-US"/>
        </w:rPr>
        <w:t>The Central Provident Fund (CPF) is a mandatory savings scheme financed by payroll contributions from both employers and employees. The combined contribution rate is currently 33%, with 20% paid by the employee and 13% by the employer. These contributions are credited to the member’s personal account at the CPF which pays nominal interest on members’ balances. The CPF allows its members to withdraw funds to pay for approved uses such as housing, retirement and medical costs for themselves and immediate family members. The CPF is the centrepiece of Singapore’s “personal responsibility” system for the provision of social services. The individual accounts in the CPF are the property of the member, and any remaining balances form part of their estate upon death. The Central Provident Fund relieves the budget sector from having to finance these social services for the most part. The CPF generates large amounts of “surplus” cash-flow from members’ contributions each year. These funds are invested in government securities. This largely explains why the Singapore government has high levels of domestic liabilities despite the budget sector having accumulated surpluses over the years and not needing debt financing. These surpluses are then invested by the third pillar of the public finance system: the government investment agencies.</w:t>
      </w: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Government investment agencies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government has two principal investment agencies: the Government of Singapore Investment Corporation and the Temasek Holdings Private Limited Company. Both investment agencies are responsible to the Ministry of Finance. In addition, the Monetary Authority of Singapore – the central bank – maintains extensive holdings in foreign currencies to back the Singapore dollar. The level of disclosure on the operations of the investment agencies – especially the Government of Singapore Investment Corporation – is very low. The government’s view is that releasing such information may lead to speculation in the market and may adversely impact Singapore’s economic stability and national security. The differential in the rate of return achieved by the investment agencies and the interest paid on the balances in individual CPF accounts – which is a principal source of the surpluses invested – may also be sensitive. The Government of Singapore Investment Corporation acts “as a fund manager for the Singapore government” and focuses on the overseas investment of Singapore's surpluses. Its corporate profile notes that it invests “in equities, fixed income, money market instruments, real estate and special investments” and that it manages “more than USD 100 billion” in accumulated surpluses. No further information is released – neither the amount of its total assets (some believe that it is significantly “more than USD 100 billion”), nor the composition of its assets (either by types of instruments, geography or currency), nor the rates of return achieved on its portfolio. The Temasek Holdings Private Limited Company operates “as an independent company separate from the government, but the government holds a 100% equity stake as an investor in the company.” Temasek manages direct corporate shareholdings – both in Singapore and abroad – and its portfolio is wide-ranging. According to its corporate profile, it includes “telecommunications and media, financial services, property, transportation and logistics, energy and resources, infrastructure, engineering and technology, as well as pharmaceuticals and biosciences.” It publishes an annual “Temasek Review” which provides details on its portfolio. Temasek acts as an “active commercial investor”. Several of the companies are listed on the market in Singapore and overseas. It reports that the value of its portfolio is currently “SGD 103 billion2 as at 31 March 2005, and has achieved total shareholder’s return since inception (1974) of 18% compounded annually.” The Constitution contains a fiscal rule that limits the use of investment income generated by the investment of surpluses as well as providing extensive safety mechanisms to guard the reserves. This is discussed in subsequent sections of this article.</w:t>
      </w: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Other funds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Singapore operates several special funds that are not consolidated in the reporting of the budget to Parliament. (These funds are governed by specific acts.) The outstanding example is the Government Securities Fund; this is where the Central Provident Fund invests its surplus funds. The interest paid to the CPF is however netted against the investment income earned by the government investment agencies. As a result, the budget sector of Singapore shows no interest expense for the bonds purchased by the CPF. Similarly, government expenditure for the purchase of land is offset against income received from the sale of land. There are also endowment funds. The government created special funds and capitalised them at high levels during years of high budget surpluses. The funds in turn yield an annual return that is used to fund various specific social expenses as specified by the acts which govern these endowment funds. These are discussed further in the section on budget formulation. Singapore views this treatment as easing the management and administration of the funds and their underlying transactions.</w:t>
      </w: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Budget sector </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existence of the large accumulated reserves has resulted in the use of unique budget concepts in Singapore. In short, they aim to foster fiscal discipline and sustainability by limiting the use of the investment income earned on the accumulated past surpluses. At first, this was accomplished by using the “operating revenue” concept. This meant that investment income was not treated as revenue for budgetary purposes. Only taxes and user fees were considered as revenue. This resulted in the government’s real surplus being substantially higher than its reported surpluses, or even reported deficits. In 2000, Singapore’s budget concepts were revised, and parts of net investment income derived from the investment of past surpluses were now treated as revenue for budgetary purposes. This was an implicit recognition of the tight fiscal realities going forward and the need to rely on net investment income contributions to fund required expenditure. In accordance with Singapore’s fiscal rule (described in the next section), up to half of the annual realised net investment income could be used by the budget sector. However, this is a maximum amount and the government does not report what share of net investment income it actually used during a given year. The concept is somewhat euphemistically known as “total revenue”. The government’s total surpluses (inclusive of all investment income) continue however to be under-reported in the budget sector with this concept. As a result, the performance of the budget sector does not give a comparable picture of Singapore’s fiscal performance vis-à-vis OECD countries. The government’s fiscal performance has been better than reported in the budget sector each year. With this caveat, Figure 1 shows the evolution of Singapore’s fiscal performance since fiscal year 1986 according to the “total revenue” concept.</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 can be seen, the budget sector experienced reported deficits in the late 1980s, which was a difficult economic time. In the 1990s, it reported surpluses every year – often very significant surpluses, and even during the Asian financial crisis. Since the millennium, Singapore has experienced both surpluses and deficits, although as a whole it has been roughly in balance. Events such as 9/11 and SARS adversely affected the fiscal performance during this period. During the 1990s, revenue averaged about 20% of GDP. It has shown a decline starting with the Asian financial crisis which brought on both lower economic growth and tax cuts in order to boost Singapore’s competitiveness. During this time, Singapore has also been changing the emphasis of its tax system to a greater reliance on indirect (consumption) taxes. Expenditures have moved in a range between 15% and 20% of GDP during most of this time period. In discussing expenditures, it is important to note that capital expenditures account for a very large percentage of total expenditures in Singapore – about one-third of total expenditures. The timing of individual projects largely explains the differences in individual years, although there was a distinct upward trend in overall expenditures during the 1990s which has since been arrested.</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Other noteworthy features of the expenditures of Singapore’s budget sector include the near absence of transfer payments (which are funded by the individual accounts at the Central Provident Fund) and interest expenses (which are netted out below-the-line against investment income).</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pacing w:after="0" w:line="240" w:lineRule="auto"/>
        <w:ind w:firstLine="709"/>
        <w:jc w:val="both"/>
        <w:rPr>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The tax</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sz w:val="28"/>
          <w:szCs w:val="28"/>
          <w:lang w:val="en-US"/>
        </w:rPr>
        <w:t>in Singapore</w:t>
      </w:r>
      <w:r w:rsidRPr="0068182D">
        <w:rPr>
          <w:rFonts w:ascii="Times New Roman" w:hAnsi="Times New Roman" w:cs="Times New Roman"/>
          <w:b/>
          <w:sz w:val="28"/>
          <w:szCs w:val="28"/>
          <w:lang w:val="en-US"/>
        </w:rPr>
        <w:t>.</w:t>
      </w:r>
    </w:p>
    <w:p w:rsidR="004379E3" w:rsidRPr="0068182D" w:rsidRDefault="004379E3" w:rsidP="00C40532">
      <w:pPr>
        <w:shd w:val="clear" w:color="auto" w:fill="FFFFFF"/>
        <w:spacing w:after="0" w:line="240" w:lineRule="auto"/>
        <w:ind w:firstLine="709"/>
        <w:jc w:val="both"/>
        <w:rPr>
          <w:rFonts w:ascii="Times New Roman" w:eastAsia="Times New Roman" w:hAnsi="Times New Roman" w:cs="Times New Roman"/>
          <w:sz w:val="28"/>
          <w:szCs w:val="28"/>
          <w:lang w:val="en-US"/>
        </w:rPr>
      </w:pPr>
      <w:r w:rsidRPr="0068182D">
        <w:rPr>
          <w:rFonts w:ascii="Times New Roman" w:eastAsia="Times New Roman" w:hAnsi="Times New Roman" w:cs="Times New Roman"/>
          <w:sz w:val="28"/>
          <w:szCs w:val="28"/>
          <w:lang w:val="en-US"/>
        </w:rPr>
        <w:t>There are three main sources of government operating revenue, namely tax revenue, fees and charges and other receipts. Tax revenue accounts for 88.9% of the government operating revenue for the financial year 2014/15.  The most significant is tax revenue from the various taxes imposed by the government, which are as follows.</w:t>
      </w:r>
    </w:p>
    <w:p w:rsidR="004379E3" w:rsidRPr="0068182D" w:rsidRDefault="004379E3" w:rsidP="000537F4">
      <w:pPr>
        <w:numPr>
          <w:ilvl w:val="0"/>
          <w:numId w:val="19"/>
        </w:numPr>
        <w:shd w:val="clear" w:color="auto" w:fill="FFFFFF"/>
        <w:spacing w:after="0" w:line="240" w:lineRule="auto"/>
        <w:ind w:left="0" w:firstLine="709"/>
        <w:jc w:val="both"/>
        <w:rPr>
          <w:rFonts w:ascii="Times New Roman" w:eastAsia="Times New Roman" w:hAnsi="Times New Roman" w:cs="Times New Roman"/>
          <w:color w:val="444444"/>
          <w:sz w:val="28"/>
          <w:szCs w:val="28"/>
        </w:rPr>
      </w:pPr>
      <w:r w:rsidRPr="0068182D">
        <w:rPr>
          <w:rFonts w:ascii="Times New Roman" w:eastAsia="Times New Roman" w:hAnsi="Times New Roman" w:cs="Times New Roman"/>
          <w:b/>
          <w:bCs/>
          <w:color w:val="444444"/>
          <w:sz w:val="28"/>
          <w:szCs w:val="28"/>
        </w:rPr>
        <w:t>Income Tax</w:t>
      </w:r>
    </w:p>
    <w:p w:rsidR="004379E3" w:rsidRPr="0068182D" w:rsidRDefault="004379E3" w:rsidP="00C40532">
      <w:pPr>
        <w:shd w:val="clear" w:color="auto" w:fill="FFFFFF"/>
        <w:spacing w:after="0" w:line="240" w:lineRule="auto"/>
        <w:ind w:firstLine="709"/>
        <w:jc w:val="both"/>
        <w:rPr>
          <w:rFonts w:ascii="Times New Roman" w:eastAsia="Times New Roman" w:hAnsi="Times New Roman" w:cs="Times New Roman"/>
          <w:color w:val="444444"/>
          <w:sz w:val="28"/>
          <w:szCs w:val="28"/>
          <w:lang w:val="en-US"/>
        </w:rPr>
      </w:pPr>
      <w:r w:rsidRPr="0068182D">
        <w:rPr>
          <w:rFonts w:ascii="Times New Roman" w:eastAsia="Times New Roman" w:hAnsi="Times New Roman" w:cs="Times New Roman"/>
          <w:color w:val="444444"/>
          <w:sz w:val="28"/>
          <w:szCs w:val="28"/>
          <w:lang w:val="en-US"/>
        </w:rPr>
        <w:t>Income tax is chargeable on income of individuals and companies.</w:t>
      </w:r>
    </w:p>
    <w:p w:rsidR="004379E3" w:rsidRPr="0068182D" w:rsidRDefault="004379E3" w:rsidP="000537F4">
      <w:pPr>
        <w:numPr>
          <w:ilvl w:val="0"/>
          <w:numId w:val="19"/>
        </w:numPr>
        <w:shd w:val="clear" w:color="auto" w:fill="FFFFFF"/>
        <w:spacing w:after="0" w:line="240" w:lineRule="auto"/>
        <w:ind w:left="0" w:firstLine="709"/>
        <w:jc w:val="both"/>
        <w:rPr>
          <w:rFonts w:ascii="Times New Roman" w:eastAsia="Times New Roman" w:hAnsi="Times New Roman" w:cs="Times New Roman"/>
          <w:color w:val="444444"/>
          <w:sz w:val="28"/>
          <w:szCs w:val="28"/>
        </w:rPr>
      </w:pPr>
      <w:r w:rsidRPr="0068182D">
        <w:rPr>
          <w:rFonts w:ascii="Times New Roman" w:eastAsia="Times New Roman" w:hAnsi="Times New Roman" w:cs="Times New Roman"/>
          <w:b/>
          <w:bCs/>
          <w:color w:val="444444"/>
          <w:sz w:val="28"/>
          <w:szCs w:val="28"/>
        </w:rPr>
        <w:t>Property Tax</w:t>
      </w:r>
    </w:p>
    <w:p w:rsidR="004379E3" w:rsidRPr="0068182D" w:rsidRDefault="004379E3" w:rsidP="00C40532">
      <w:pPr>
        <w:shd w:val="clear" w:color="auto" w:fill="FFFFFF"/>
        <w:spacing w:after="0" w:line="240" w:lineRule="auto"/>
        <w:ind w:firstLine="709"/>
        <w:jc w:val="both"/>
        <w:rPr>
          <w:rFonts w:ascii="Times New Roman" w:eastAsia="Times New Roman" w:hAnsi="Times New Roman" w:cs="Times New Roman"/>
          <w:color w:val="444444"/>
          <w:sz w:val="28"/>
          <w:szCs w:val="28"/>
          <w:lang w:val="en-US"/>
        </w:rPr>
      </w:pPr>
      <w:r w:rsidRPr="0068182D">
        <w:rPr>
          <w:rFonts w:ascii="Times New Roman" w:eastAsia="Times New Roman" w:hAnsi="Times New Roman" w:cs="Times New Roman"/>
          <w:color w:val="444444"/>
          <w:sz w:val="28"/>
          <w:szCs w:val="28"/>
          <w:lang w:val="en-US"/>
        </w:rPr>
        <w:t>Property tax is imposed on owners of properties based on the expected rental values of the properties.</w:t>
      </w:r>
    </w:p>
    <w:p w:rsidR="004379E3" w:rsidRPr="0068182D" w:rsidRDefault="004379E3" w:rsidP="000537F4">
      <w:pPr>
        <w:numPr>
          <w:ilvl w:val="0"/>
          <w:numId w:val="19"/>
        </w:numPr>
        <w:shd w:val="clear" w:color="auto" w:fill="FFFFFF"/>
        <w:spacing w:after="0" w:line="240" w:lineRule="auto"/>
        <w:ind w:left="0" w:firstLine="709"/>
        <w:jc w:val="both"/>
        <w:rPr>
          <w:rFonts w:ascii="Times New Roman" w:eastAsia="Times New Roman" w:hAnsi="Times New Roman" w:cs="Times New Roman"/>
          <w:color w:val="444444"/>
          <w:sz w:val="28"/>
          <w:szCs w:val="28"/>
          <w:lang w:val="en-US"/>
        </w:rPr>
      </w:pPr>
      <w:r w:rsidRPr="0068182D">
        <w:rPr>
          <w:rFonts w:ascii="Times New Roman" w:eastAsia="Times New Roman" w:hAnsi="Times New Roman" w:cs="Times New Roman"/>
          <w:b/>
          <w:bCs/>
          <w:color w:val="444444"/>
          <w:sz w:val="28"/>
          <w:szCs w:val="28"/>
          <w:lang w:val="en-US"/>
        </w:rPr>
        <w:t>Estate Duty (Removed for deaths occurring on or after 15 Feb 2008)</w:t>
      </w:r>
    </w:p>
    <w:p w:rsidR="004379E3" w:rsidRPr="0068182D" w:rsidRDefault="004379E3" w:rsidP="00C40532">
      <w:pPr>
        <w:shd w:val="clear" w:color="auto" w:fill="FFFFFF"/>
        <w:spacing w:after="0" w:line="240" w:lineRule="auto"/>
        <w:ind w:firstLine="709"/>
        <w:jc w:val="both"/>
        <w:rPr>
          <w:rFonts w:ascii="Times New Roman" w:eastAsia="Times New Roman" w:hAnsi="Times New Roman" w:cs="Times New Roman"/>
          <w:color w:val="444444"/>
          <w:sz w:val="28"/>
          <w:szCs w:val="28"/>
          <w:lang w:val="en-US"/>
        </w:rPr>
      </w:pPr>
      <w:r w:rsidRPr="0068182D">
        <w:rPr>
          <w:rFonts w:ascii="Times New Roman" w:eastAsia="Times New Roman" w:hAnsi="Times New Roman" w:cs="Times New Roman"/>
          <w:color w:val="444444"/>
          <w:sz w:val="28"/>
          <w:szCs w:val="28"/>
          <w:lang w:val="en-US"/>
        </w:rPr>
        <w:t>Estate duty is levied on the value of a deceased's net assets in excess of a threshold amount.</w:t>
      </w:r>
    </w:p>
    <w:p w:rsidR="004379E3" w:rsidRPr="0068182D" w:rsidRDefault="004379E3" w:rsidP="000537F4">
      <w:pPr>
        <w:numPr>
          <w:ilvl w:val="0"/>
          <w:numId w:val="19"/>
        </w:numPr>
        <w:shd w:val="clear" w:color="auto" w:fill="FFFFFF"/>
        <w:spacing w:after="0" w:line="240" w:lineRule="auto"/>
        <w:ind w:left="0" w:firstLine="709"/>
        <w:jc w:val="both"/>
        <w:rPr>
          <w:rFonts w:ascii="Times New Roman" w:eastAsia="Times New Roman" w:hAnsi="Times New Roman" w:cs="Times New Roman"/>
          <w:color w:val="444444"/>
          <w:sz w:val="28"/>
          <w:szCs w:val="28"/>
        </w:rPr>
      </w:pPr>
      <w:r w:rsidRPr="0068182D">
        <w:rPr>
          <w:rFonts w:ascii="Times New Roman" w:eastAsia="Times New Roman" w:hAnsi="Times New Roman" w:cs="Times New Roman"/>
          <w:b/>
          <w:bCs/>
          <w:color w:val="444444"/>
          <w:sz w:val="28"/>
          <w:szCs w:val="28"/>
        </w:rPr>
        <w:t>Motor Vehicle Taxes</w:t>
      </w:r>
    </w:p>
    <w:p w:rsidR="004379E3" w:rsidRPr="0068182D" w:rsidRDefault="004379E3" w:rsidP="00C40532">
      <w:pPr>
        <w:shd w:val="clear" w:color="auto" w:fill="FFFFFF"/>
        <w:spacing w:after="0" w:line="240" w:lineRule="auto"/>
        <w:ind w:firstLine="709"/>
        <w:jc w:val="both"/>
        <w:rPr>
          <w:rFonts w:ascii="Times New Roman" w:eastAsia="Times New Roman" w:hAnsi="Times New Roman" w:cs="Times New Roman"/>
          <w:color w:val="444444"/>
          <w:sz w:val="28"/>
          <w:szCs w:val="28"/>
          <w:lang w:val="en-US"/>
        </w:rPr>
      </w:pPr>
      <w:r w:rsidRPr="0068182D">
        <w:rPr>
          <w:rFonts w:ascii="Times New Roman" w:eastAsia="Times New Roman" w:hAnsi="Times New Roman" w:cs="Times New Roman"/>
          <w:color w:val="444444"/>
          <w:sz w:val="28"/>
          <w:szCs w:val="28"/>
          <w:lang w:val="en-US"/>
        </w:rPr>
        <w:t>These are taxes, other than import duties, that are imposed on motor vehicles. These taxes are imposed to curb car ownership and road congestion.</w:t>
      </w:r>
    </w:p>
    <w:p w:rsidR="004379E3" w:rsidRPr="0068182D" w:rsidRDefault="004379E3" w:rsidP="000537F4">
      <w:pPr>
        <w:numPr>
          <w:ilvl w:val="0"/>
          <w:numId w:val="19"/>
        </w:numPr>
        <w:shd w:val="clear" w:color="auto" w:fill="FFFFFF"/>
        <w:spacing w:after="0" w:line="240" w:lineRule="auto"/>
        <w:ind w:left="0" w:firstLine="709"/>
        <w:jc w:val="both"/>
        <w:rPr>
          <w:rFonts w:ascii="Times New Roman" w:eastAsia="Times New Roman" w:hAnsi="Times New Roman" w:cs="Times New Roman"/>
          <w:sz w:val="28"/>
          <w:szCs w:val="28"/>
        </w:rPr>
      </w:pPr>
      <w:r w:rsidRPr="0068182D">
        <w:rPr>
          <w:rFonts w:ascii="Times New Roman" w:eastAsia="Times New Roman" w:hAnsi="Times New Roman" w:cs="Times New Roman"/>
          <w:b/>
          <w:bCs/>
          <w:sz w:val="28"/>
          <w:szCs w:val="28"/>
        </w:rPr>
        <w:t>Customs &amp; Excise Duties</w:t>
      </w:r>
    </w:p>
    <w:p w:rsidR="004379E3" w:rsidRPr="0068182D" w:rsidRDefault="004379E3" w:rsidP="00C40532">
      <w:pPr>
        <w:shd w:val="clear" w:color="auto" w:fill="FFFFFF"/>
        <w:spacing w:after="0" w:line="240" w:lineRule="auto"/>
        <w:ind w:firstLine="709"/>
        <w:jc w:val="both"/>
        <w:rPr>
          <w:rFonts w:ascii="Times New Roman" w:eastAsia="Times New Roman" w:hAnsi="Times New Roman" w:cs="Times New Roman"/>
          <w:sz w:val="28"/>
          <w:szCs w:val="28"/>
          <w:lang w:val="en-US"/>
        </w:rPr>
      </w:pPr>
      <w:r w:rsidRPr="0068182D">
        <w:rPr>
          <w:rFonts w:ascii="Times New Roman" w:eastAsia="Times New Roman" w:hAnsi="Times New Roman" w:cs="Times New Roman"/>
          <w:sz w:val="28"/>
          <w:szCs w:val="28"/>
          <w:lang w:val="en-US"/>
        </w:rPr>
        <w:t>Singapore is a free port and has relatively few excise and import duties. Excise duties are imposed principally on tobacco, petroleum products and liquors. Also, very few products are subject to import duties. The duties are mainly on motor vehicles, tobacco, liquor and petroleum products.</w:t>
      </w:r>
    </w:p>
    <w:p w:rsidR="004379E3" w:rsidRPr="0068182D" w:rsidRDefault="004379E3" w:rsidP="000537F4">
      <w:pPr>
        <w:numPr>
          <w:ilvl w:val="0"/>
          <w:numId w:val="19"/>
        </w:numPr>
        <w:shd w:val="clear" w:color="auto" w:fill="FFFFFF"/>
        <w:spacing w:after="0" w:line="240" w:lineRule="auto"/>
        <w:ind w:left="0" w:firstLine="709"/>
        <w:jc w:val="both"/>
        <w:rPr>
          <w:rFonts w:ascii="Times New Roman" w:eastAsia="Times New Roman" w:hAnsi="Times New Roman" w:cs="Times New Roman"/>
          <w:sz w:val="28"/>
          <w:szCs w:val="28"/>
        </w:rPr>
      </w:pPr>
      <w:r w:rsidRPr="0068182D">
        <w:rPr>
          <w:rFonts w:ascii="Times New Roman" w:eastAsia="Times New Roman" w:hAnsi="Times New Roman" w:cs="Times New Roman"/>
          <w:b/>
          <w:bCs/>
          <w:sz w:val="28"/>
          <w:szCs w:val="28"/>
        </w:rPr>
        <w:t>Goods &amp; Services Tax</w:t>
      </w:r>
    </w:p>
    <w:p w:rsidR="004379E3" w:rsidRPr="0068182D" w:rsidRDefault="004379E3" w:rsidP="00C40532">
      <w:pPr>
        <w:shd w:val="clear" w:color="auto" w:fill="FFFFFF"/>
        <w:spacing w:after="0" w:line="240" w:lineRule="auto"/>
        <w:ind w:firstLine="709"/>
        <w:jc w:val="both"/>
        <w:rPr>
          <w:rFonts w:ascii="Times New Roman" w:eastAsia="Times New Roman" w:hAnsi="Times New Roman" w:cs="Times New Roman"/>
          <w:sz w:val="28"/>
          <w:szCs w:val="28"/>
          <w:lang w:val="en-US"/>
        </w:rPr>
      </w:pPr>
      <w:r w:rsidRPr="0068182D">
        <w:rPr>
          <w:rFonts w:ascii="Times New Roman" w:eastAsia="Times New Roman" w:hAnsi="Times New Roman" w:cs="Times New Roman"/>
          <w:sz w:val="28"/>
          <w:szCs w:val="28"/>
          <w:lang w:val="en-US"/>
        </w:rPr>
        <w:t>GST is a tax on consumption. The tax is paid when money is spent on goods or services, including imports.</w:t>
      </w:r>
    </w:p>
    <w:p w:rsidR="004379E3" w:rsidRPr="0068182D" w:rsidRDefault="004379E3" w:rsidP="000537F4">
      <w:pPr>
        <w:numPr>
          <w:ilvl w:val="0"/>
          <w:numId w:val="19"/>
        </w:numPr>
        <w:shd w:val="clear" w:color="auto" w:fill="FFFFFF"/>
        <w:spacing w:after="0" w:line="240" w:lineRule="auto"/>
        <w:ind w:left="0" w:firstLine="709"/>
        <w:jc w:val="both"/>
        <w:rPr>
          <w:rFonts w:ascii="Times New Roman" w:eastAsia="Times New Roman" w:hAnsi="Times New Roman" w:cs="Times New Roman"/>
          <w:sz w:val="28"/>
          <w:szCs w:val="28"/>
        </w:rPr>
      </w:pPr>
      <w:r w:rsidRPr="0068182D">
        <w:rPr>
          <w:rFonts w:ascii="Times New Roman" w:eastAsia="Times New Roman" w:hAnsi="Times New Roman" w:cs="Times New Roman"/>
          <w:b/>
          <w:bCs/>
          <w:sz w:val="28"/>
          <w:szCs w:val="28"/>
        </w:rPr>
        <w:t>Betting Taxes</w:t>
      </w:r>
    </w:p>
    <w:p w:rsidR="004379E3" w:rsidRPr="0068182D" w:rsidRDefault="004379E3" w:rsidP="00C40532">
      <w:pPr>
        <w:shd w:val="clear" w:color="auto" w:fill="FFFFFF"/>
        <w:spacing w:after="0" w:line="240" w:lineRule="auto"/>
        <w:ind w:firstLine="709"/>
        <w:jc w:val="both"/>
        <w:rPr>
          <w:rFonts w:ascii="Times New Roman" w:eastAsia="Times New Roman" w:hAnsi="Times New Roman" w:cs="Times New Roman"/>
          <w:sz w:val="28"/>
          <w:szCs w:val="28"/>
          <w:lang w:val="en-US"/>
        </w:rPr>
      </w:pPr>
      <w:r w:rsidRPr="0068182D">
        <w:rPr>
          <w:rFonts w:ascii="Times New Roman" w:eastAsia="Times New Roman" w:hAnsi="Times New Roman" w:cs="Times New Roman"/>
          <w:sz w:val="28"/>
          <w:szCs w:val="28"/>
          <w:lang w:val="en-US"/>
        </w:rPr>
        <w:t>These are duties on private lottery, betting &amp; sweepstake.</w:t>
      </w:r>
    </w:p>
    <w:p w:rsidR="004379E3" w:rsidRPr="0068182D" w:rsidRDefault="004379E3" w:rsidP="000537F4">
      <w:pPr>
        <w:numPr>
          <w:ilvl w:val="0"/>
          <w:numId w:val="19"/>
        </w:numPr>
        <w:shd w:val="clear" w:color="auto" w:fill="FFFFFF"/>
        <w:spacing w:after="0" w:line="240" w:lineRule="auto"/>
        <w:ind w:left="0" w:firstLine="709"/>
        <w:jc w:val="both"/>
        <w:rPr>
          <w:rFonts w:ascii="Times New Roman" w:eastAsia="Times New Roman" w:hAnsi="Times New Roman" w:cs="Times New Roman"/>
          <w:sz w:val="28"/>
          <w:szCs w:val="28"/>
          <w:lang w:val="en-US"/>
        </w:rPr>
      </w:pPr>
      <w:r w:rsidRPr="0068182D">
        <w:rPr>
          <w:rFonts w:ascii="Times New Roman" w:eastAsia="Times New Roman" w:hAnsi="Times New Roman" w:cs="Times New Roman"/>
          <w:b/>
          <w:bCs/>
          <w:sz w:val="28"/>
          <w:szCs w:val="28"/>
          <w:lang w:val="en-US"/>
        </w:rPr>
        <w:t>Casino Tax</w:t>
      </w:r>
    </w:p>
    <w:p w:rsidR="004379E3" w:rsidRPr="0068182D" w:rsidRDefault="004379E3" w:rsidP="00C40532">
      <w:pPr>
        <w:shd w:val="clear" w:color="auto" w:fill="FFFFFF"/>
        <w:spacing w:after="0" w:line="240" w:lineRule="auto"/>
        <w:ind w:left="709"/>
        <w:jc w:val="both"/>
        <w:rPr>
          <w:rFonts w:ascii="Times New Roman" w:eastAsia="Times New Roman" w:hAnsi="Times New Roman" w:cs="Times New Roman"/>
          <w:sz w:val="28"/>
          <w:szCs w:val="28"/>
          <w:lang w:val="en-US"/>
        </w:rPr>
      </w:pPr>
      <w:r w:rsidRPr="0068182D">
        <w:rPr>
          <w:rFonts w:ascii="Times New Roman" w:eastAsia="Times New Roman" w:hAnsi="Times New Roman" w:cs="Times New Roman"/>
          <w:sz w:val="28"/>
          <w:szCs w:val="28"/>
          <w:lang w:val="en-US"/>
        </w:rPr>
        <w:t>The casino tax is a new tax levied on the casinos’ gross gaming revenue. </w:t>
      </w:r>
    </w:p>
    <w:p w:rsidR="004379E3" w:rsidRPr="0068182D" w:rsidRDefault="004379E3" w:rsidP="000537F4">
      <w:pPr>
        <w:numPr>
          <w:ilvl w:val="0"/>
          <w:numId w:val="19"/>
        </w:numPr>
        <w:shd w:val="clear" w:color="auto" w:fill="FFFFFF"/>
        <w:spacing w:after="0" w:line="240" w:lineRule="auto"/>
        <w:ind w:left="0" w:firstLine="709"/>
        <w:jc w:val="both"/>
        <w:rPr>
          <w:rFonts w:ascii="Times New Roman" w:eastAsia="Times New Roman" w:hAnsi="Times New Roman" w:cs="Times New Roman"/>
          <w:sz w:val="28"/>
          <w:szCs w:val="28"/>
        </w:rPr>
      </w:pPr>
      <w:r w:rsidRPr="0068182D">
        <w:rPr>
          <w:rFonts w:ascii="Times New Roman" w:eastAsia="Times New Roman" w:hAnsi="Times New Roman" w:cs="Times New Roman"/>
          <w:b/>
          <w:bCs/>
          <w:sz w:val="28"/>
          <w:szCs w:val="28"/>
        </w:rPr>
        <w:t>Stamp Duties</w:t>
      </w:r>
    </w:p>
    <w:p w:rsidR="004379E3" w:rsidRPr="0068182D" w:rsidRDefault="004379E3" w:rsidP="00C40532">
      <w:pPr>
        <w:shd w:val="clear" w:color="auto" w:fill="FFFFFF"/>
        <w:spacing w:after="0" w:line="240" w:lineRule="auto"/>
        <w:ind w:firstLine="709"/>
        <w:jc w:val="both"/>
        <w:rPr>
          <w:rFonts w:ascii="Times New Roman" w:eastAsia="Times New Roman" w:hAnsi="Times New Roman" w:cs="Times New Roman"/>
          <w:sz w:val="28"/>
          <w:szCs w:val="28"/>
          <w:lang w:val="en-US"/>
        </w:rPr>
      </w:pPr>
      <w:r w:rsidRPr="0068182D">
        <w:rPr>
          <w:rFonts w:ascii="Times New Roman" w:eastAsia="Times New Roman" w:hAnsi="Times New Roman" w:cs="Times New Roman"/>
          <w:sz w:val="28"/>
          <w:szCs w:val="28"/>
          <w:lang w:val="en-US"/>
        </w:rPr>
        <w:t>This is imposed on commercial and legal documents relating to stock &amp; shares and immovable property.</w:t>
      </w:r>
    </w:p>
    <w:p w:rsidR="004379E3" w:rsidRPr="0068182D" w:rsidRDefault="004379E3" w:rsidP="000537F4">
      <w:pPr>
        <w:numPr>
          <w:ilvl w:val="0"/>
          <w:numId w:val="19"/>
        </w:numPr>
        <w:shd w:val="clear" w:color="auto" w:fill="FFFFFF"/>
        <w:spacing w:after="0" w:line="240" w:lineRule="auto"/>
        <w:ind w:left="0" w:firstLine="709"/>
        <w:jc w:val="both"/>
        <w:rPr>
          <w:rFonts w:ascii="Times New Roman" w:eastAsia="Times New Roman" w:hAnsi="Times New Roman" w:cs="Times New Roman"/>
          <w:sz w:val="28"/>
          <w:szCs w:val="28"/>
        </w:rPr>
      </w:pPr>
      <w:r w:rsidRPr="0068182D">
        <w:rPr>
          <w:rFonts w:ascii="Times New Roman" w:eastAsia="Times New Roman" w:hAnsi="Times New Roman" w:cs="Times New Roman"/>
          <w:b/>
          <w:bCs/>
          <w:sz w:val="28"/>
          <w:szCs w:val="28"/>
        </w:rPr>
        <w:t>Others</w:t>
      </w:r>
    </w:p>
    <w:p w:rsidR="004379E3" w:rsidRPr="0068182D" w:rsidRDefault="004379E3" w:rsidP="00C40532">
      <w:pPr>
        <w:shd w:val="clear" w:color="auto" w:fill="FFFFFF"/>
        <w:spacing w:after="0" w:line="240" w:lineRule="auto"/>
        <w:ind w:firstLine="709"/>
        <w:jc w:val="both"/>
        <w:rPr>
          <w:rFonts w:ascii="Times New Roman" w:eastAsia="Times New Roman" w:hAnsi="Times New Roman" w:cs="Times New Roman"/>
          <w:sz w:val="28"/>
          <w:szCs w:val="28"/>
          <w:lang w:val="en-US"/>
        </w:rPr>
      </w:pPr>
      <w:r w:rsidRPr="0068182D">
        <w:rPr>
          <w:rFonts w:ascii="Times New Roman" w:eastAsia="Times New Roman" w:hAnsi="Times New Roman" w:cs="Times New Roman"/>
          <w:sz w:val="28"/>
          <w:szCs w:val="28"/>
          <w:lang w:val="en-US"/>
        </w:rPr>
        <w:t>The two main taxes are the foreign worker levy and the airport passenger service charge. The foreign worker levy is imposed to regulate the employment of foreign workers in Singapore.</w:t>
      </w:r>
    </w:p>
    <w:p w:rsidR="004379E3" w:rsidRPr="0068182D" w:rsidRDefault="004379E3" w:rsidP="00C40532">
      <w:pPr>
        <w:pStyle w:val="2"/>
        <w:shd w:val="clear" w:color="auto" w:fill="FFFFFF"/>
        <w:spacing w:before="0" w:beforeAutospacing="0" w:after="0" w:afterAutospacing="0"/>
        <w:ind w:firstLine="709"/>
        <w:jc w:val="both"/>
        <w:textAlignment w:val="baseline"/>
        <w:rPr>
          <w:b w:val="0"/>
          <w:bCs w:val="0"/>
          <w:sz w:val="28"/>
          <w:szCs w:val="28"/>
          <w:lang w:val="en-US"/>
        </w:rPr>
      </w:pPr>
    </w:p>
    <w:p w:rsidR="004379E3" w:rsidRPr="0068182D" w:rsidRDefault="004379E3" w:rsidP="00C40532">
      <w:pPr>
        <w:pStyle w:val="2"/>
        <w:shd w:val="clear" w:color="auto" w:fill="FFFFFF"/>
        <w:spacing w:before="0" w:beforeAutospacing="0" w:after="0" w:afterAutospacing="0"/>
        <w:ind w:firstLine="709"/>
        <w:jc w:val="both"/>
        <w:textAlignment w:val="baseline"/>
        <w:rPr>
          <w:bCs w:val="0"/>
          <w:sz w:val="28"/>
          <w:szCs w:val="28"/>
          <w:lang w:val="en-US"/>
        </w:rPr>
      </w:pPr>
      <w:r w:rsidRPr="0068182D">
        <w:rPr>
          <w:bCs w:val="0"/>
          <w:sz w:val="28"/>
          <w:szCs w:val="28"/>
          <w:lang w:val="en-US"/>
        </w:rPr>
        <w:t>Current Tax Rates in Singapore</w:t>
      </w:r>
    </w:p>
    <w:p w:rsidR="004379E3" w:rsidRPr="0068182D" w:rsidRDefault="004379E3" w:rsidP="00C40532">
      <w:pPr>
        <w:pStyle w:val="3"/>
        <w:shd w:val="clear" w:color="auto" w:fill="FFFFFF"/>
        <w:spacing w:before="0" w:line="240" w:lineRule="auto"/>
        <w:ind w:firstLine="709"/>
        <w:jc w:val="both"/>
        <w:textAlignment w:val="baseline"/>
        <w:rPr>
          <w:rFonts w:ascii="Times New Roman" w:hAnsi="Times New Roman" w:cs="Times New Roman"/>
          <w:color w:val="auto"/>
          <w:sz w:val="28"/>
          <w:szCs w:val="28"/>
          <w:lang w:val="en-US"/>
        </w:rPr>
      </w:pPr>
      <w:r w:rsidRPr="0068182D">
        <w:rPr>
          <w:rFonts w:ascii="Times New Roman" w:hAnsi="Times New Roman" w:cs="Times New Roman"/>
          <w:color w:val="auto"/>
          <w:sz w:val="28"/>
          <w:szCs w:val="28"/>
          <w:lang w:val="en-US"/>
        </w:rPr>
        <w:t>Corporate Tax Rates</w:t>
      </w:r>
    </w:p>
    <w:tbl>
      <w:tblPr>
        <w:tblW w:w="5000" w:type="pct"/>
        <w:tblBorders>
          <w:top w:val="single" w:sz="6" w:space="0" w:color="CCCCCC"/>
          <w:left w:val="single" w:sz="6" w:space="0" w:color="CCCCCC"/>
          <w:bottom w:val="single" w:sz="6" w:space="0" w:color="CCCCCC"/>
          <w:right w:val="single" w:sz="6" w:space="0" w:color="CCCCCC"/>
        </w:tblBorders>
        <w:shd w:val="clear" w:color="auto" w:fill="FFFFFF"/>
        <w:tblCellMar>
          <w:left w:w="0" w:type="dxa"/>
          <w:right w:w="0" w:type="dxa"/>
        </w:tblCellMar>
        <w:tblLook w:val="04A0"/>
      </w:tblPr>
      <w:tblGrid>
        <w:gridCol w:w="6996"/>
        <w:gridCol w:w="2998"/>
      </w:tblGrid>
      <w:tr w:rsidR="004379E3" w:rsidRPr="0068182D" w:rsidTr="00BE3110">
        <w:trPr>
          <w:trHeight w:val="218"/>
        </w:trPr>
        <w:tc>
          <w:tcPr>
            <w:tcW w:w="3500" w:type="pct"/>
            <w:tcBorders>
              <w:top w:val="outset" w:sz="2" w:space="0" w:color="auto"/>
              <w:left w:val="single" w:sz="6" w:space="0" w:color="CCCCCC"/>
              <w:bottom w:val="outset" w:sz="2" w:space="0" w:color="auto"/>
              <w:right w:val="outset" w:sz="2" w:space="0" w:color="auto"/>
            </w:tcBorders>
            <w:shd w:val="clear" w:color="auto" w:fill="EDEDED"/>
            <w:tcMar>
              <w:top w:w="178" w:type="dxa"/>
              <w:left w:w="178" w:type="dxa"/>
              <w:bottom w:w="178" w:type="dxa"/>
              <w:right w:w="178" w:type="dxa"/>
            </w:tcMar>
            <w:vAlign w:val="center"/>
            <w:hideMark/>
          </w:tcPr>
          <w:p w:rsidR="004379E3" w:rsidRPr="0068182D" w:rsidRDefault="004379E3" w:rsidP="00C40532">
            <w:pPr>
              <w:spacing w:after="0" w:line="240" w:lineRule="auto"/>
              <w:jc w:val="both"/>
              <w:rPr>
                <w:rFonts w:ascii="Times New Roman" w:eastAsia="Times New Roman" w:hAnsi="Times New Roman" w:cs="Times New Roman"/>
                <w:b/>
                <w:bCs/>
                <w:caps/>
                <w:color w:val="F05033"/>
                <w:sz w:val="28"/>
                <w:szCs w:val="28"/>
              </w:rPr>
            </w:pPr>
            <w:r w:rsidRPr="0068182D">
              <w:rPr>
                <w:rFonts w:ascii="Times New Roman" w:eastAsia="Times New Roman" w:hAnsi="Times New Roman" w:cs="Times New Roman"/>
                <w:b/>
                <w:bCs/>
                <w:caps/>
                <w:color w:val="F05033"/>
                <w:sz w:val="28"/>
                <w:szCs w:val="28"/>
              </w:rPr>
              <w:t>INCOME</w:t>
            </w:r>
          </w:p>
        </w:tc>
        <w:tc>
          <w:tcPr>
            <w:tcW w:w="0" w:type="auto"/>
            <w:tcBorders>
              <w:top w:val="outset" w:sz="2" w:space="0" w:color="auto"/>
              <w:left w:val="single" w:sz="6" w:space="0" w:color="CCCCCC"/>
              <w:bottom w:val="outset" w:sz="2" w:space="0" w:color="auto"/>
              <w:right w:val="outset" w:sz="2" w:space="0" w:color="auto"/>
            </w:tcBorders>
            <w:shd w:val="clear" w:color="auto" w:fill="EDEDED"/>
            <w:tcMar>
              <w:top w:w="178" w:type="dxa"/>
              <w:left w:w="178" w:type="dxa"/>
              <w:bottom w:w="178" w:type="dxa"/>
              <w:right w:w="178" w:type="dxa"/>
            </w:tcMar>
            <w:vAlign w:val="center"/>
            <w:hideMark/>
          </w:tcPr>
          <w:p w:rsidR="004379E3" w:rsidRPr="0068182D" w:rsidRDefault="004379E3" w:rsidP="00C40532">
            <w:pPr>
              <w:spacing w:after="0" w:line="240" w:lineRule="auto"/>
              <w:jc w:val="both"/>
              <w:rPr>
                <w:rFonts w:ascii="Times New Roman" w:eastAsia="Times New Roman" w:hAnsi="Times New Roman" w:cs="Times New Roman"/>
                <w:b/>
                <w:bCs/>
                <w:caps/>
                <w:color w:val="F05033"/>
                <w:sz w:val="28"/>
                <w:szCs w:val="28"/>
              </w:rPr>
            </w:pPr>
            <w:r w:rsidRPr="0068182D">
              <w:rPr>
                <w:rFonts w:ascii="Times New Roman" w:eastAsia="Times New Roman" w:hAnsi="Times New Roman" w:cs="Times New Roman"/>
                <w:b/>
                <w:bCs/>
                <w:caps/>
                <w:color w:val="F05033"/>
                <w:sz w:val="28"/>
                <w:szCs w:val="28"/>
              </w:rPr>
              <w:t>TAX RATE</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lang w:val="en-US"/>
              </w:rPr>
            </w:pPr>
            <w:r w:rsidRPr="0068182D">
              <w:rPr>
                <w:rFonts w:ascii="Times New Roman" w:eastAsia="Times New Roman" w:hAnsi="Times New Roman" w:cs="Times New Roman"/>
                <w:color w:val="303030"/>
                <w:sz w:val="28"/>
                <w:szCs w:val="28"/>
                <w:lang w:val="en-US"/>
              </w:rPr>
              <w:t>Tax rate on corporate profits for up to 300,000 SGD</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8.5%</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lang w:val="en-US"/>
              </w:rPr>
            </w:pPr>
            <w:r w:rsidRPr="0068182D">
              <w:rPr>
                <w:rFonts w:ascii="Times New Roman" w:eastAsia="Times New Roman" w:hAnsi="Times New Roman" w:cs="Times New Roman"/>
                <w:color w:val="303030"/>
                <w:sz w:val="28"/>
                <w:szCs w:val="28"/>
                <w:lang w:val="en-US"/>
              </w:rPr>
              <w:t>Tax rate on corporate profits above 300,000 SGD</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17%</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lang w:val="en-US"/>
              </w:rPr>
            </w:pPr>
            <w:r w:rsidRPr="0068182D">
              <w:rPr>
                <w:rFonts w:ascii="Times New Roman" w:eastAsia="Times New Roman" w:hAnsi="Times New Roman" w:cs="Times New Roman"/>
                <w:color w:val="303030"/>
                <w:sz w:val="28"/>
                <w:szCs w:val="28"/>
                <w:lang w:val="en-US"/>
              </w:rPr>
              <w:t>Tax rate on capital gains accrued by the company</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0%</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lang w:val="en-US"/>
              </w:rPr>
            </w:pPr>
            <w:r w:rsidRPr="0068182D">
              <w:rPr>
                <w:rFonts w:ascii="Times New Roman" w:eastAsia="Times New Roman" w:hAnsi="Times New Roman" w:cs="Times New Roman"/>
                <w:color w:val="303030"/>
                <w:sz w:val="28"/>
                <w:szCs w:val="28"/>
                <w:lang w:val="en-US"/>
              </w:rPr>
              <w:t>Tax rate on dividend distribution to shareholders</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0%</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lang w:val="en-US"/>
              </w:rPr>
            </w:pPr>
            <w:r w:rsidRPr="0068182D">
              <w:rPr>
                <w:rFonts w:ascii="Times New Roman" w:eastAsia="Times New Roman" w:hAnsi="Times New Roman" w:cs="Times New Roman"/>
                <w:color w:val="303030"/>
                <w:sz w:val="28"/>
                <w:szCs w:val="28"/>
                <w:lang w:val="en-US"/>
              </w:rPr>
              <w:t>Tax rate on foreign-sourced income not brought into Singapore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0%</w:t>
            </w:r>
          </w:p>
        </w:tc>
      </w:tr>
      <w:tr w:rsidR="004379E3" w:rsidRPr="0068182D" w:rsidTr="00BE3110">
        <w:trPr>
          <w:trHeight w:val="298"/>
        </w:trPr>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lang w:val="en-US"/>
              </w:rPr>
            </w:pPr>
            <w:r w:rsidRPr="0068182D">
              <w:rPr>
                <w:rFonts w:ascii="Times New Roman" w:eastAsia="Times New Roman" w:hAnsi="Times New Roman" w:cs="Times New Roman"/>
                <w:color w:val="303030"/>
                <w:sz w:val="28"/>
                <w:szCs w:val="28"/>
                <w:lang w:val="en-US"/>
              </w:rPr>
              <w:t>Tax rate on foreign-sourced income brought into Singapore</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0 – 17% subject to conditions</w:t>
            </w:r>
          </w:p>
        </w:tc>
      </w:tr>
    </w:tbl>
    <w:p w:rsidR="004379E3" w:rsidRPr="0068182D" w:rsidRDefault="004379E3" w:rsidP="00C40532">
      <w:pPr>
        <w:spacing w:after="0" w:line="240" w:lineRule="auto"/>
        <w:ind w:firstLine="709"/>
        <w:jc w:val="both"/>
        <w:rPr>
          <w:rStyle w:val="hps"/>
          <w:rFonts w:ascii="Times New Roman" w:hAnsi="Times New Roman" w:cs="Times New Roman"/>
          <w:sz w:val="28"/>
          <w:szCs w:val="28"/>
          <w:lang w:val="en-US"/>
        </w:rPr>
      </w:pPr>
    </w:p>
    <w:p w:rsidR="004379E3" w:rsidRPr="0068182D" w:rsidRDefault="004379E3" w:rsidP="00C40532">
      <w:pPr>
        <w:pStyle w:val="3"/>
        <w:shd w:val="clear" w:color="auto" w:fill="FFFFFF"/>
        <w:spacing w:before="0" w:line="240" w:lineRule="auto"/>
        <w:ind w:firstLine="709"/>
        <w:jc w:val="both"/>
        <w:textAlignment w:val="baseline"/>
        <w:rPr>
          <w:rFonts w:ascii="Times New Roman" w:hAnsi="Times New Roman" w:cs="Times New Roman"/>
          <w:color w:val="auto"/>
          <w:sz w:val="28"/>
          <w:szCs w:val="28"/>
          <w:lang w:val="en-US"/>
        </w:rPr>
      </w:pPr>
      <w:r w:rsidRPr="0068182D">
        <w:rPr>
          <w:rFonts w:ascii="Times New Roman" w:hAnsi="Times New Roman" w:cs="Times New Roman"/>
          <w:color w:val="auto"/>
          <w:sz w:val="28"/>
          <w:szCs w:val="28"/>
          <w:lang w:val="en-US"/>
        </w:rPr>
        <w:t>Personal Tax Rates</w:t>
      </w:r>
    </w:p>
    <w:tbl>
      <w:tblPr>
        <w:tblW w:w="5000" w:type="pct"/>
        <w:tblBorders>
          <w:top w:val="single" w:sz="6" w:space="0" w:color="CCCCCC"/>
          <w:left w:val="single" w:sz="6" w:space="0" w:color="CCCCCC"/>
          <w:bottom w:val="single" w:sz="6" w:space="0" w:color="CCCCCC"/>
          <w:right w:val="single" w:sz="6" w:space="0" w:color="CCCCCC"/>
        </w:tblBorders>
        <w:shd w:val="clear" w:color="auto" w:fill="FFFFFF"/>
        <w:tblCellMar>
          <w:left w:w="0" w:type="dxa"/>
          <w:right w:w="0" w:type="dxa"/>
        </w:tblCellMar>
        <w:tblLook w:val="04A0"/>
      </w:tblPr>
      <w:tblGrid>
        <w:gridCol w:w="6996"/>
        <w:gridCol w:w="2998"/>
      </w:tblGrid>
      <w:tr w:rsidR="004379E3" w:rsidRPr="0068182D" w:rsidTr="00BE3110">
        <w:tc>
          <w:tcPr>
            <w:tcW w:w="3500" w:type="pct"/>
            <w:tcBorders>
              <w:top w:val="outset" w:sz="2" w:space="0" w:color="auto"/>
              <w:left w:val="single" w:sz="6" w:space="0" w:color="CCCCCC"/>
              <w:bottom w:val="outset" w:sz="2" w:space="0" w:color="auto"/>
              <w:right w:val="outset" w:sz="2" w:space="0" w:color="auto"/>
            </w:tcBorders>
            <w:shd w:val="clear" w:color="auto" w:fill="EDEDED"/>
            <w:tcMar>
              <w:top w:w="178" w:type="dxa"/>
              <w:left w:w="178" w:type="dxa"/>
              <w:bottom w:w="178" w:type="dxa"/>
              <w:right w:w="178" w:type="dxa"/>
            </w:tcMar>
            <w:vAlign w:val="center"/>
            <w:hideMark/>
          </w:tcPr>
          <w:p w:rsidR="004379E3" w:rsidRPr="0068182D" w:rsidRDefault="004379E3" w:rsidP="00C40532">
            <w:pPr>
              <w:spacing w:after="0" w:line="240" w:lineRule="auto"/>
              <w:ind w:firstLine="709"/>
              <w:jc w:val="both"/>
              <w:rPr>
                <w:rFonts w:ascii="Times New Roman" w:eastAsia="Times New Roman" w:hAnsi="Times New Roman" w:cs="Times New Roman"/>
                <w:b/>
                <w:bCs/>
                <w:caps/>
                <w:color w:val="F05033"/>
                <w:sz w:val="28"/>
                <w:szCs w:val="28"/>
              </w:rPr>
            </w:pPr>
            <w:r w:rsidRPr="0068182D">
              <w:rPr>
                <w:rFonts w:ascii="Times New Roman" w:eastAsia="Times New Roman" w:hAnsi="Times New Roman" w:cs="Times New Roman"/>
                <w:b/>
                <w:bCs/>
                <w:caps/>
                <w:color w:val="F05033"/>
                <w:sz w:val="28"/>
                <w:szCs w:val="28"/>
              </w:rPr>
              <w:t>INCOME</w:t>
            </w:r>
          </w:p>
        </w:tc>
        <w:tc>
          <w:tcPr>
            <w:tcW w:w="0" w:type="auto"/>
            <w:tcBorders>
              <w:top w:val="outset" w:sz="2" w:space="0" w:color="auto"/>
              <w:left w:val="single" w:sz="6" w:space="0" w:color="CCCCCC"/>
              <w:bottom w:val="outset" w:sz="2" w:space="0" w:color="auto"/>
              <w:right w:val="outset" w:sz="2" w:space="0" w:color="auto"/>
            </w:tcBorders>
            <w:shd w:val="clear" w:color="auto" w:fill="EDEDED"/>
            <w:tcMar>
              <w:top w:w="178" w:type="dxa"/>
              <w:left w:w="178" w:type="dxa"/>
              <w:bottom w:w="178" w:type="dxa"/>
              <w:right w:w="178" w:type="dxa"/>
            </w:tcMar>
            <w:vAlign w:val="center"/>
            <w:hideMark/>
          </w:tcPr>
          <w:p w:rsidR="004379E3" w:rsidRPr="0068182D" w:rsidRDefault="004379E3" w:rsidP="00C40532">
            <w:pPr>
              <w:spacing w:after="0" w:line="240" w:lineRule="auto"/>
              <w:ind w:firstLine="709"/>
              <w:jc w:val="both"/>
              <w:rPr>
                <w:rFonts w:ascii="Times New Roman" w:eastAsia="Times New Roman" w:hAnsi="Times New Roman" w:cs="Times New Roman"/>
                <w:b/>
                <w:bCs/>
                <w:caps/>
                <w:color w:val="F05033"/>
                <w:sz w:val="28"/>
                <w:szCs w:val="28"/>
              </w:rPr>
            </w:pPr>
            <w:r w:rsidRPr="0068182D">
              <w:rPr>
                <w:rFonts w:ascii="Times New Roman" w:eastAsia="Times New Roman" w:hAnsi="Times New Roman" w:cs="Times New Roman"/>
                <w:b/>
                <w:bCs/>
                <w:caps/>
                <w:color w:val="F05033"/>
                <w:sz w:val="28"/>
                <w:szCs w:val="28"/>
              </w:rPr>
              <w:t>TAX RATE</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Tax rate on first 20,000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0%</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Tax rate on next 10,000</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2%</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Tax rate on next 10,000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3.5%</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Tax rate on next 40,000</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7%</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Tax rate on next 40,000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11.5%</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Tax rate on next 40,000</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15%</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Tax rate on next 40,000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17%</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Tax rate on next 120,000</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18%</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Tax rate on above 320,000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20%</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lang w:val="en-US"/>
              </w:rPr>
            </w:pPr>
            <w:r w:rsidRPr="0068182D">
              <w:rPr>
                <w:rFonts w:ascii="Times New Roman" w:eastAsia="Times New Roman" w:hAnsi="Times New Roman" w:cs="Times New Roman"/>
                <w:color w:val="303030"/>
                <w:sz w:val="28"/>
                <w:szCs w:val="28"/>
                <w:lang w:val="en-US"/>
              </w:rPr>
              <w:t>Tax rate on capital gains</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0%</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lang w:val="en-US"/>
              </w:rPr>
            </w:pPr>
            <w:r w:rsidRPr="0068182D">
              <w:rPr>
                <w:rFonts w:ascii="Times New Roman" w:eastAsia="Times New Roman" w:hAnsi="Times New Roman" w:cs="Times New Roman"/>
                <w:color w:val="303030"/>
                <w:sz w:val="28"/>
                <w:szCs w:val="28"/>
                <w:lang w:val="en-US"/>
              </w:rPr>
              <w:t>Tax rate on income earned overseas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0%</w:t>
            </w:r>
          </w:p>
        </w:tc>
      </w:tr>
      <w:tr w:rsidR="004379E3" w:rsidRPr="0068182D" w:rsidTr="00BE3110">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lang w:val="en-US"/>
              </w:rPr>
            </w:pPr>
            <w:r w:rsidRPr="0068182D">
              <w:rPr>
                <w:rFonts w:ascii="Times New Roman" w:eastAsia="Times New Roman" w:hAnsi="Times New Roman" w:cs="Times New Roman"/>
                <w:color w:val="303030"/>
                <w:sz w:val="28"/>
                <w:szCs w:val="28"/>
                <w:lang w:val="en-US"/>
              </w:rPr>
              <w:t>Tax rate on dividends received from Singapore company</w:t>
            </w:r>
          </w:p>
        </w:tc>
        <w:tc>
          <w:tcPr>
            <w:tcW w:w="0" w:type="auto"/>
            <w:tcBorders>
              <w:top w:val="single" w:sz="6" w:space="0" w:color="CCCCCC"/>
              <w:left w:val="single" w:sz="6" w:space="0" w:color="CCCCCC"/>
              <w:bottom w:val="single" w:sz="6" w:space="0" w:color="CCCCCC"/>
              <w:right w:val="single" w:sz="6" w:space="0" w:color="CCCCCC"/>
            </w:tcBorders>
            <w:shd w:val="clear" w:color="auto" w:fill="F5F5F5"/>
            <w:tcMar>
              <w:top w:w="89" w:type="dxa"/>
              <w:left w:w="533" w:type="dxa"/>
              <w:bottom w:w="89" w:type="dxa"/>
              <w:right w:w="533" w:type="dxa"/>
            </w:tcMar>
            <w:vAlign w:val="bottom"/>
            <w:hideMark/>
          </w:tcPr>
          <w:p w:rsidR="004379E3" w:rsidRPr="0068182D" w:rsidRDefault="004379E3" w:rsidP="00C40532">
            <w:pPr>
              <w:spacing w:after="0" w:line="240" w:lineRule="auto"/>
              <w:ind w:firstLine="709"/>
              <w:jc w:val="both"/>
              <w:rPr>
                <w:rFonts w:ascii="Times New Roman" w:eastAsia="Times New Roman" w:hAnsi="Times New Roman" w:cs="Times New Roman"/>
                <w:color w:val="303030"/>
                <w:sz w:val="28"/>
                <w:szCs w:val="28"/>
              </w:rPr>
            </w:pPr>
            <w:r w:rsidRPr="0068182D">
              <w:rPr>
                <w:rFonts w:ascii="Times New Roman" w:eastAsia="Times New Roman" w:hAnsi="Times New Roman" w:cs="Times New Roman"/>
                <w:color w:val="303030"/>
                <w:sz w:val="28"/>
                <w:szCs w:val="28"/>
              </w:rPr>
              <w:t>0%</w:t>
            </w:r>
          </w:p>
        </w:tc>
      </w:tr>
    </w:tbl>
    <w:p w:rsidR="004379E3" w:rsidRPr="0068182D" w:rsidRDefault="004379E3" w:rsidP="00C40532">
      <w:pPr>
        <w:spacing w:after="0" w:line="240" w:lineRule="auto"/>
        <w:ind w:firstLine="709"/>
        <w:jc w:val="both"/>
        <w:rPr>
          <w:rStyle w:val="hps"/>
          <w:rFonts w:ascii="Times New Roman" w:hAnsi="Times New Roman" w:cs="Times New Roman"/>
          <w:sz w:val="28"/>
          <w:szCs w:val="28"/>
        </w:rPr>
      </w:pPr>
    </w:p>
    <w:p w:rsidR="004379E3" w:rsidRPr="0068182D" w:rsidRDefault="004379E3" w:rsidP="00C40532">
      <w:pPr>
        <w:spacing w:after="0" w:line="240" w:lineRule="auto"/>
        <w:ind w:firstLine="709"/>
        <w:jc w:val="both"/>
        <w:rPr>
          <w:rStyle w:val="hps"/>
          <w:rFonts w:ascii="Times New Roman" w:hAnsi="Times New Roman" w:cs="Times New Roman"/>
          <w:sz w:val="28"/>
          <w:szCs w:val="28"/>
        </w:rPr>
      </w:pPr>
    </w:p>
    <w:p w:rsidR="004379E3" w:rsidRPr="0068182D" w:rsidRDefault="004379E3" w:rsidP="00C40532">
      <w:pPr>
        <w:spacing w:after="0" w:line="240" w:lineRule="auto"/>
        <w:ind w:firstLine="709"/>
        <w:jc w:val="both"/>
        <w:rPr>
          <w:rStyle w:val="hps"/>
          <w:rFonts w:ascii="Times New Roman" w:hAnsi="Times New Roman" w:cs="Times New Roman"/>
          <w:b/>
          <w:sz w:val="28"/>
          <w:szCs w:val="28"/>
          <w:lang w:val="en-US"/>
        </w:rPr>
      </w:pPr>
      <w:r w:rsidRPr="0068182D">
        <w:rPr>
          <w:rStyle w:val="hps"/>
          <w:rFonts w:ascii="Times New Roman" w:hAnsi="Times New Roman" w:cs="Times New Roman"/>
          <w:sz w:val="28"/>
          <w:szCs w:val="28"/>
          <w:lang w:val="en-US"/>
        </w:rPr>
        <w:t>6. Special economic zone in Singapore</w:t>
      </w:r>
    </w:p>
    <w:p w:rsidR="004379E3" w:rsidRPr="0068182D" w:rsidRDefault="004379E3" w:rsidP="00C40532">
      <w:pPr>
        <w:pStyle w:val="a6"/>
        <w:shd w:val="clear" w:color="auto" w:fill="FFFFFF"/>
        <w:spacing w:before="0" w:beforeAutospacing="0" w:after="0" w:afterAutospacing="0"/>
        <w:ind w:firstLine="709"/>
        <w:jc w:val="both"/>
        <w:rPr>
          <w:color w:val="000000"/>
          <w:sz w:val="28"/>
          <w:szCs w:val="28"/>
          <w:lang w:val="en-US"/>
        </w:rPr>
      </w:pPr>
    </w:p>
    <w:p w:rsidR="004379E3" w:rsidRPr="0068182D" w:rsidRDefault="004379E3" w:rsidP="00C40532">
      <w:pPr>
        <w:pStyle w:val="a6"/>
        <w:shd w:val="clear" w:color="auto" w:fill="FFFFFF"/>
        <w:spacing w:before="0" w:beforeAutospacing="0" w:after="0" w:afterAutospacing="0"/>
        <w:ind w:firstLine="709"/>
        <w:jc w:val="both"/>
        <w:rPr>
          <w:color w:val="000000"/>
          <w:sz w:val="28"/>
          <w:szCs w:val="28"/>
          <w:lang w:val="en-US"/>
        </w:rPr>
      </w:pPr>
      <w:r w:rsidRPr="0068182D">
        <w:rPr>
          <w:color w:val="000000"/>
          <w:sz w:val="28"/>
          <w:szCs w:val="28"/>
          <w:lang w:val="en-US"/>
        </w:rPr>
        <w:t xml:space="preserve">SINGAPORE — Special Economic Zones (SEZs) can help drive growth in Asia at a time when the region is experiencing a China-led slowdown, the Asian Development Bank (ADB) said in a </w:t>
      </w:r>
      <w:r w:rsidRPr="0068182D">
        <w:rPr>
          <w:color w:val="000000"/>
          <w:sz w:val="28"/>
          <w:szCs w:val="28"/>
          <w:lang w:val="en-US"/>
        </w:rPr>
        <w:softHyphen/>
        <w:t>report released today (Dec 8).</w:t>
      </w:r>
    </w:p>
    <w:p w:rsidR="004379E3" w:rsidRPr="0068182D" w:rsidRDefault="004379E3" w:rsidP="00C40532">
      <w:pPr>
        <w:pStyle w:val="a6"/>
        <w:shd w:val="clear" w:color="auto" w:fill="FFFFFF"/>
        <w:spacing w:before="0" w:beforeAutospacing="0" w:after="0" w:afterAutospacing="0"/>
        <w:ind w:firstLine="709"/>
        <w:jc w:val="both"/>
        <w:rPr>
          <w:color w:val="000000"/>
          <w:sz w:val="28"/>
          <w:szCs w:val="28"/>
          <w:lang w:val="en-US"/>
        </w:rPr>
      </w:pPr>
      <w:r w:rsidRPr="0068182D">
        <w:rPr>
          <w:color w:val="000000"/>
          <w:sz w:val="28"/>
          <w:szCs w:val="28"/>
          <w:lang w:val="en-US"/>
        </w:rPr>
        <w:t xml:space="preserve">The annual Asian Economic </w:t>
      </w:r>
      <w:r w:rsidRPr="0068182D">
        <w:rPr>
          <w:color w:val="000000"/>
          <w:sz w:val="28"/>
          <w:szCs w:val="28"/>
          <w:lang w:val="en-US"/>
        </w:rPr>
        <w:softHyphen/>
        <w:t>Integration Report found that the</w:t>
      </w:r>
      <w:r w:rsidRPr="0068182D">
        <w:rPr>
          <w:color w:val="000000"/>
          <w:sz w:val="28"/>
          <w:szCs w:val="28"/>
          <w:lang w:val="en-US"/>
        </w:rPr>
        <w:softHyphen/>
        <w:t xml:space="preserve"> number of SEZs in an economy is positively </w:t>
      </w:r>
      <w:r w:rsidRPr="0068182D">
        <w:rPr>
          <w:color w:val="000000"/>
          <w:sz w:val="28"/>
          <w:szCs w:val="28"/>
          <w:lang w:val="en-US"/>
        </w:rPr>
        <w:softHyphen/>
        <w:t xml:space="preserve">related to overall </w:t>
      </w:r>
      <w:r w:rsidRPr="0068182D">
        <w:rPr>
          <w:color w:val="000000"/>
          <w:sz w:val="28"/>
          <w:szCs w:val="28"/>
          <w:lang w:val="en-US"/>
        </w:rPr>
        <w:softHyphen/>
        <w:t xml:space="preserve">export performance. In developing Asia, countries with SEZs attract significantly more foreign direct </w:t>
      </w:r>
      <w:r w:rsidRPr="0068182D">
        <w:rPr>
          <w:color w:val="000000"/>
          <w:sz w:val="28"/>
          <w:szCs w:val="28"/>
          <w:lang w:val="en-US"/>
        </w:rPr>
        <w:softHyphen/>
        <w:t xml:space="preserve">investments (FDIs), with the existence of these zones </w:t>
      </w:r>
      <w:r w:rsidRPr="0068182D">
        <w:rPr>
          <w:color w:val="000000"/>
          <w:sz w:val="28"/>
          <w:szCs w:val="28"/>
          <w:lang w:val="en-US"/>
        </w:rPr>
        <w:softHyphen/>
        <w:t>corresponding to 82 per cent greater FDI levels, it said.</w:t>
      </w:r>
    </w:p>
    <w:p w:rsidR="004379E3" w:rsidRPr="0068182D" w:rsidRDefault="004379E3" w:rsidP="00C40532">
      <w:pPr>
        <w:pStyle w:val="a6"/>
        <w:shd w:val="clear" w:color="auto" w:fill="FFFFFF"/>
        <w:spacing w:before="0" w:beforeAutospacing="0" w:after="0" w:afterAutospacing="0"/>
        <w:ind w:firstLine="709"/>
        <w:jc w:val="both"/>
        <w:rPr>
          <w:color w:val="000000"/>
          <w:sz w:val="28"/>
          <w:szCs w:val="28"/>
          <w:lang w:val="en-US"/>
        </w:rPr>
      </w:pPr>
      <w:r w:rsidRPr="0068182D">
        <w:rPr>
          <w:color w:val="000000"/>
          <w:sz w:val="28"/>
          <w:szCs w:val="28"/>
          <w:lang w:val="en-US"/>
        </w:rPr>
        <w:t xml:space="preserve">“If designed right, SEZs can </w:t>
      </w:r>
      <w:r w:rsidRPr="0068182D">
        <w:rPr>
          <w:color w:val="000000"/>
          <w:sz w:val="28"/>
          <w:szCs w:val="28"/>
          <w:lang w:val="en-US"/>
        </w:rPr>
        <w:softHyphen/>
        <w:t xml:space="preserve">become drivers for increased trade, FDI and better economic policymaking and reforms,” said ADB chief economist Shang-Jin Wei. “Moreover, as countries develop, areas with SEZs can be transformed from mere manufacturing sites to hubs for innovation and modern </w:t>
      </w:r>
      <w:r w:rsidRPr="0068182D">
        <w:rPr>
          <w:color w:val="000000"/>
          <w:sz w:val="28"/>
          <w:szCs w:val="28"/>
          <w:lang w:val="en-US"/>
        </w:rPr>
        <w:softHyphen/>
        <w:t>services.”</w:t>
      </w:r>
    </w:p>
    <w:p w:rsidR="004379E3" w:rsidRPr="0068182D" w:rsidRDefault="004379E3" w:rsidP="00C40532">
      <w:pPr>
        <w:pStyle w:val="a6"/>
        <w:shd w:val="clear" w:color="auto" w:fill="FFFFFF"/>
        <w:spacing w:before="0" w:beforeAutospacing="0" w:after="0" w:afterAutospacing="0"/>
        <w:ind w:firstLine="709"/>
        <w:jc w:val="both"/>
        <w:rPr>
          <w:color w:val="000000"/>
          <w:sz w:val="28"/>
          <w:szCs w:val="28"/>
          <w:lang w:val="en-US"/>
        </w:rPr>
      </w:pPr>
      <w:r w:rsidRPr="0068182D">
        <w:rPr>
          <w:color w:val="000000"/>
          <w:sz w:val="28"/>
          <w:szCs w:val="28"/>
          <w:lang w:val="en-US"/>
        </w:rPr>
        <w:t xml:space="preserve">The number of SEZs globally grew to more than 4,300 this year from about 500 in 1995, noted Mr Wei. While the performance of these zones varied across economies, the ADB study found that successful ones have common features that include strong state support and consistent policies, strategic locations, the availability of cheap factory sites and an abundant </w:t>
      </w:r>
      <w:r w:rsidRPr="0068182D">
        <w:rPr>
          <w:color w:val="000000"/>
          <w:sz w:val="28"/>
          <w:szCs w:val="28"/>
          <w:lang w:val="en-US"/>
        </w:rPr>
        <w:softHyphen/>
        <w:t>labour supply.</w:t>
      </w:r>
    </w:p>
    <w:p w:rsidR="004379E3" w:rsidRPr="0068182D" w:rsidRDefault="004379E3" w:rsidP="00C40532">
      <w:pPr>
        <w:pStyle w:val="a6"/>
        <w:shd w:val="clear" w:color="auto" w:fill="FFFFFF"/>
        <w:spacing w:before="0" w:beforeAutospacing="0" w:after="0" w:afterAutospacing="0"/>
        <w:ind w:firstLine="709"/>
        <w:jc w:val="both"/>
        <w:rPr>
          <w:color w:val="000000"/>
          <w:sz w:val="28"/>
          <w:szCs w:val="28"/>
          <w:lang w:val="en-US"/>
        </w:rPr>
      </w:pPr>
    </w:p>
    <w:p w:rsidR="00FF2DA0" w:rsidRPr="0068182D" w:rsidRDefault="00FF2DA0" w:rsidP="00FF2DA0">
      <w:pPr>
        <w:spacing w:after="0" w:line="240" w:lineRule="auto"/>
        <w:ind w:left="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Control questions</w:t>
      </w:r>
    </w:p>
    <w:p w:rsidR="00FF2DA0" w:rsidRPr="0068182D" w:rsidRDefault="00FF2DA0" w:rsidP="00FF2DA0">
      <w:pPr>
        <w:spacing w:after="0" w:line="240" w:lineRule="auto"/>
        <w:ind w:left="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1.</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Singapore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miracle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economy.</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economic model</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Singapore.</w:t>
      </w:r>
    </w:p>
    <w:p w:rsidR="00FF2DA0" w:rsidRPr="0068182D" w:rsidRDefault="00FF2DA0" w:rsidP="00FF2DA0">
      <w:pPr>
        <w:spacing w:after="0" w:line="240" w:lineRule="auto"/>
        <w:ind w:left="709"/>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2.</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Financial</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sector</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 the locomotive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local economy</w:t>
      </w:r>
      <w:r w:rsidRPr="0068182D">
        <w:rPr>
          <w:rFonts w:ascii="Times New Roman" w:hAnsi="Times New Roman" w:cs="Times New Roman"/>
          <w:sz w:val="28"/>
          <w:szCs w:val="28"/>
          <w:lang w:val="en-US"/>
        </w:rPr>
        <w:t>.</w:t>
      </w:r>
    </w:p>
    <w:p w:rsidR="00FF2DA0" w:rsidRPr="0068182D" w:rsidRDefault="00FF2DA0" w:rsidP="00FF2DA0">
      <w:pPr>
        <w:spacing w:after="0" w:line="240" w:lineRule="auto"/>
        <w:ind w:left="709"/>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3.</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financial</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Singapore</w:t>
      </w:r>
      <w:r w:rsidRPr="0068182D">
        <w:rPr>
          <w:rFonts w:ascii="Times New Roman" w:hAnsi="Times New Roman" w:cs="Times New Roman"/>
          <w:sz w:val="28"/>
          <w:szCs w:val="28"/>
          <w:lang w:val="en-US"/>
        </w:rPr>
        <w:t>.</w:t>
      </w:r>
    </w:p>
    <w:p w:rsidR="00FF2DA0" w:rsidRPr="0068182D" w:rsidRDefault="00FF2DA0" w:rsidP="00FF2DA0">
      <w:pPr>
        <w:spacing w:after="0" w:line="240" w:lineRule="auto"/>
        <w:ind w:left="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4.</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state budget</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and the structure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costs and revenues.</w:t>
      </w:r>
    </w:p>
    <w:p w:rsidR="00FF2DA0" w:rsidRPr="0068182D" w:rsidRDefault="00FF2DA0" w:rsidP="00FF2DA0">
      <w:pPr>
        <w:spacing w:after="0" w:line="240" w:lineRule="auto"/>
        <w:ind w:left="709"/>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5.</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tax</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 Singapore</w:t>
      </w:r>
      <w:r w:rsidRPr="0068182D">
        <w:rPr>
          <w:rFonts w:ascii="Times New Roman" w:hAnsi="Times New Roman" w:cs="Times New Roman"/>
          <w:sz w:val="28"/>
          <w:szCs w:val="28"/>
          <w:lang w:val="en-US"/>
        </w:rPr>
        <w:t>.</w:t>
      </w:r>
    </w:p>
    <w:p w:rsidR="00FF2DA0" w:rsidRPr="0068182D" w:rsidRDefault="00FF2DA0" w:rsidP="00FF2DA0">
      <w:pPr>
        <w:spacing w:after="0" w:line="240" w:lineRule="auto"/>
        <w:ind w:left="709"/>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6. Role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 the development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Singapore's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economy</w:t>
      </w:r>
      <w:r w:rsidRPr="0068182D">
        <w:rPr>
          <w:rFonts w:ascii="Times New Roman" w:hAnsi="Times New Roman" w:cs="Times New Roman"/>
          <w:sz w:val="28"/>
          <w:szCs w:val="28"/>
          <w:lang w:val="en-US"/>
        </w:rPr>
        <w:t xml:space="preserve"> C</w:t>
      </w:r>
      <w:r w:rsidRPr="0068182D">
        <w:rPr>
          <w:rStyle w:val="hps"/>
          <w:rFonts w:ascii="Times New Roman" w:hAnsi="Times New Roman" w:cs="Times New Roman"/>
          <w:sz w:val="28"/>
          <w:szCs w:val="28"/>
          <w:lang w:val="en-US"/>
        </w:rPr>
        <w:t>EZ</w:t>
      </w:r>
    </w:p>
    <w:p w:rsidR="00BE3110" w:rsidRPr="0068182D" w:rsidRDefault="00BE3110" w:rsidP="00C40532">
      <w:pPr>
        <w:pStyle w:val="a6"/>
        <w:shd w:val="clear" w:color="auto" w:fill="FFFFFF"/>
        <w:spacing w:before="0" w:beforeAutospacing="0" w:after="0" w:afterAutospacing="0"/>
        <w:ind w:firstLine="709"/>
        <w:jc w:val="both"/>
        <w:rPr>
          <w:color w:val="000000"/>
          <w:sz w:val="28"/>
          <w:szCs w:val="28"/>
          <w:lang w:val="en-US"/>
        </w:rPr>
      </w:pP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Theme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12.</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financial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Russian Federation</w:t>
      </w:r>
    </w:p>
    <w:p w:rsidR="00BE3110" w:rsidRPr="0068182D" w:rsidRDefault="004379E3" w:rsidP="00BE3110">
      <w:pPr>
        <w:shd w:val="clear" w:color="auto" w:fill="FFFFFF"/>
        <w:tabs>
          <w:tab w:val="left" w:pos="426"/>
        </w:tabs>
        <w:spacing w:after="0" w:line="240" w:lineRule="auto"/>
        <w:jc w:val="both"/>
        <w:rPr>
          <w:rStyle w:val="hps"/>
          <w:rFonts w:ascii="Times New Roman" w:hAnsi="Times New Roman" w:cs="Times New Roman"/>
          <w:b/>
          <w:sz w:val="28"/>
          <w:szCs w:val="28"/>
          <w:lang w:val="en-US"/>
        </w:rPr>
      </w:pPr>
      <w:r w:rsidRPr="0068182D">
        <w:rPr>
          <w:rFonts w:ascii="Times New Roman" w:hAnsi="Times New Roman" w:cs="Times New Roman"/>
          <w:sz w:val="28"/>
          <w:szCs w:val="28"/>
          <w:lang w:val="en-US"/>
        </w:rPr>
        <w:br/>
      </w:r>
      <w:r w:rsidRPr="0068182D">
        <w:rPr>
          <w:rStyle w:val="hps"/>
          <w:rFonts w:ascii="Times New Roman" w:hAnsi="Times New Roman" w:cs="Times New Roman"/>
          <w:b/>
          <w:sz w:val="28"/>
          <w:szCs w:val="28"/>
          <w:lang w:val="en-US"/>
        </w:rPr>
        <w:t>1.</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composition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units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Russian financial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system.</w:t>
      </w:r>
      <w:r w:rsidRPr="0068182D">
        <w:rPr>
          <w:rFonts w:ascii="Times New Roman" w:hAnsi="Times New Roman" w:cs="Times New Roman"/>
          <w:b/>
          <w:sz w:val="28"/>
          <w:szCs w:val="28"/>
          <w:lang w:val="en-US"/>
        </w:rPr>
        <w:br/>
      </w:r>
      <w:r w:rsidRPr="0068182D">
        <w:rPr>
          <w:rStyle w:val="hps"/>
          <w:rFonts w:ascii="Times New Roman" w:hAnsi="Times New Roman" w:cs="Times New Roman"/>
          <w:b/>
          <w:sz w:val="28"/>
          <w:szCs w:val="28"/>
          <w:lang w:val="en-US"/>
        </w:rPr>
        <w:t>2.</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composition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structure of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state budget revenues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expenditures</w:t>
      </w:r>
      <w:r w:rsidRPr="0068182D">
        <w:rPr>
          <w:rFonts w:ascii="Times New Roman" w:hAnsi="Times New Roman" w:cs="Times New Roman"/>
          <w:b/>
          <w:sz w:val="28"/>
          <w:szCs w:val="28"/>
          <w:lang w:val="en-US"/>
        </w:rPr>
        <w:t>.</w:t>
      </w:r>
      <w:r w:rsidRPr="0068182D">
        <w:rPr>
          <w:rFonts w:ascii="Times New Roman" w:hAnsi="Times New Roman" w:cs="Times New Roman"/>
          <w:b/>
          <w:sz w:val="28"/>
          <w:szCs w:val="28"/>
          <w:lang w:val="en-US"/>
        </w:rPr>
        <w:br/>
      </w:r>
      <w:r w:rsidRPr="0068182D">
        <w:rPr>
          <w:rStyle w:val="hps"/>
          <w:rFonts w:ascii="Times New Roman" w:hAnsi="Times New Roman" w:cs="Times New Roman"/>
          <w:b/>
          <w:sz w:val="28"/>
          <w:szCs w:val="28"/>
          <w:lang w:val="en-US"/>
        </w:rPr>
        <w:t>3.</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Extra-budgetary funds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their role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Public credit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public debt</w:t>
      </w:r>
      <w:r w:rsidRPr="0068182D">
        <w:rPr>
          <w:rFonts w:ascii="Times New Roman" w:hAnsi="Times New Roman" w:cs="Times New Roman"/>
          <w:b/>
          <w:sz w:val="28"/>
          <w:szCs w:val="28"/>
          <w:lang w:val="en-US"/>
        </w:rPr>
        <w:t>.</w:t>
      </w:r>
    </w:p>
    <w:p w:rsidR="004379E3" w:rsidRPr="0068182D" w:rsidRDefault="004379E3" w:rsidP="000537F4">
      <w:pPr>
        <w:pStyle w:val="a4"/>
        <w:numPr>
          <w:ilvl w:val="0"/>
          <w:numId w:val="20"/>
        </w:numPr>
        <w:shd w:val="clear" w:color="auto" w:fill="FFFFFF"/>
        <w:tabs>
          <w:tab w:val="left" w:pos="426"/>
        </w:tabs>
        <w:spacing w:after="0" w:line="240" w:lineRule="auto"/>
        <w:ind w:left="0" w:firstLine="0"/>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organization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local finances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value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local budgets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the social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infrastructure of the region</w:t>
      </w:r>
      <w:r w:rsidRPr="0068182D">
        <w:rPr>
          <w:rFonts w:ascii="Times New Roman" w:hAnsi="Times New Roman" w:cs="Times New Roman"/>
          <w:b/>
          <w:sz w:val="28"/>
          <w:szCs w:val="28"/>
          <w:lang w:val="en-US"/>
        </w:rPr>
        <w:t>.</w:t>
      </w:r>
    </w:p>
    <w:p w:rsidR="004379E3" w:rsidRPr="0068182D" w:rsidRDefault="004379E3" w:rsidP="000537F4">
      <w:pPr>
        <w:pStyle w:val="a4"/>
        <w:numPr>
          <w:ilvl w:val="0"/>
          <w:numId w:val="20"/>
        </w:numPr>
        <w:shd w:val="clear" w:color="auto" w:fill="FFFFFF"/>
        <w:tabs>
          <w:tab w:val="left" w:pos="426"/>
        </w:tabs>
        <w:spacing w:after="0" w:line="240" w:lineRule="auto"/>
        <w:ind w:left="0" w:firstLine="0"/>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Specifics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tax collection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the Russian Federation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tax system</w:t>
      </w:r>
      <w:r w:rsidRPr="0068182D">
        <w:rPr>
          <w:rFonts w:ascii="Times New Roman" w:hAnsi="Times New Roman" w:cs="Times New Roman"/>
          <w:b/>
          <w:sz w:val="28"/>
          <w:szCs w:val="28"/>
          <w:lang w:val="en-US"/>
        </w:rPr>
        <w:t>.</w:t>
      </w:r>
    </w:p>
    <w:p w:rsidR="004379E3" w:rsidRPr="0068182D" w:rsidRDefault="004379E3" w:rsidP="000537F4">
      <w:pPr>
        <w:pStyle w:val="a4"/>
        <w:numPr>
          <w:ilvl w:val="0"/>
          <w:numId w:val="20"/>
        </w:numPr>
        <w:tabs>
          <w:tab w:val="left" w:pos="426"/>
        </w:tabs>
        <w:spacing w:after="0" w:line="240" w:lineRule="auto"/>
        <w:ind w:left="0" w:firstLine="0"/>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main directions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tax and 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policy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Russian Federation</w:t>
      </w:r>
      <w:r w:rsidRPr="0068182D">
        <w:rPr>
          <w:rFonts w:ascii="Times New Roman" w:hAnsi="Times New Roman" w:cs="Times New Roman"/>
          <w:b/>
          <w:sz w:val="28"/>
          <w:szCs w:val="28"/>
          <w:lang w:val="en-US"/>
        </w:rPr>
        <w:t>.</w:t>
      </w:r>
    </w:p>
    <w:p w:rsidR="004379E3" w:rsidRPr="0068182D" w:rsidRDefault="004379E3" w:rsidP="00C40532">
      <w:pPr>
        <w:spacing w:after="0" w:line="240" w:lineRule="auto"/>
        <w:jc w:val="both"/>
        <w:rPr>
          <w:rFonts w:ascii="Times New Roman" w:hAnsi="Times New Roman" w:cs="Times New Roman"/>
          <w:sz w:val="28"/>
          <w:szCs w:val="28"/>
          <w:lang w:val="en-US"/>
        </w:rPr>
      </w:pPr>
    </w:p>
    <w:p w:rsidR="004379E3" w:rsidRPr="0068182D" w:rsidRDefault="00BE3110" w:rsidP="00C40532">
      <w:pPr>
        <w:spacing w:after="0" w:line="240" w:lineRule="auto"/>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1</w:t>
      </w:r>
      <w:r w:rsidR="004379E3" w:rsidRPr="0068182D">
        <w:rPr>
          <w:rStyle w:val="hps"/>
          <w:rFonts w:ascii="Times New Roman" w:hAnsi="Times New Roman" w:cs="Times New Roman"/>
          <w:b/>
          <w:sz w:val="28"/>
          <w:szCs w:val="28"/>
          <w:lang w:val="en-US"/>
        </w:rPr>
        <w:t>.</w:t>
      </w:r>
      <w:r w:rsidR="004379E3" w:rsidRPr="0068182D">
        <w:rPr>
          <w:rFonts w:ascii="Times New Roman" w:hAnsi="Times New Roman" w:cs="Times New Roman"/>
          <w:b/>
          <w:sz w:val="28"/>
          <w:szCs w:val="28"/>
          <w:lang w:val="en-US"/>
        </w:rPr>
        <w:t xml:space="preserve"> </w:t>
      </w:r>
      <w:r w:rsidR="004379E3" w:rsidRPr="0068182D">
        <w:rPr>
          <w:rStyle w:val="hps"/>
          <w:rFonts w:ascii="Times New Roman" w:hAnsi="Times New Roman" w:cs="Times New Roman"/>
          <w:b/>
          <w:sz w:val="28"/>
          <w:szCs w:val="28"/>
          <w:lang w:val="en-US"/>
        </w:rPr>
        <w:t>The composition and</w:t>
      </w:r>
      <w:r w:rsidR="004379E3" w:rsidRPr="0068182D">
        <w:rPr>
          <w:rFonts w:ascii="Times New Roman" w:hAnsi="Times New Roman" w:cs="Times New Roman"/>
          <w:b/>
          <w:sz w:val="28"/>
          <w:szCs w:val="28"/>
          <w:lang w:val="en-US"/>
        </w:rPr>
        <w:t xml:space="preserve"> </w:t>
      </w:r>
      <w:r w:rsidR="004379E3" w:rsidRPr="0068182D">
        <w:rPr>
          <w:rStyle w:val="hps"/>
          <w:rFonts w:ascii="Times New Roman" w:hAnsi="Times New Roman" w:cs="Times New Roman"/>
          <w:b/>
          <w:sz w:val="28"/>
          <w:szCs w:val="28"/>
          <w:lang w:val="en-US"/>
        </w:rPr>
        <w:t>structure of the</w:t>
      </w:r>
      <w:r w:rsidR="004379E3" w:rsidRPr="0068182D">
        <w:rPr>
          <w:rFonts w:ascii="Times New Roman" w:hAnsi="Times New Roman" w:cs="Times New Roman"/>
          <w:b/>
          <w:sz w:val="28"/>
          <w:szCs w:val="28"/>
          <w:lang w:val="en-US"/>
        </w:rPr>
        <w:t xml:space="preserve"> </w:t>
      </w:r>
      <w:r w:rsidR="004379E3" w:rsidRPr="0068182D">
        <w:rPr>
          <w:rStyle w:val="hps"/>
          <w:rFonts w:ascii="Times New Roman" w:hAnsi="Times New Roman" w:cs="Times New Roman"/>
          <w:b/>
          <w:sz w:val="28"/>
          <w:szCs w:val="28"/>
          <w:lang w:val="en-US"/>
        </w:rPr>
        <w:t>state budget revenues and</w:t>
      </w:r>
      <w:r w:rsidR="004379E3" w:rsidRPr="0068182D">
        <w:rPr>
          <w:rFonts w:ascii="Times New Roman" w:hAnsi="Times New Roman" w:cs="Times New Roman"/>
          <w:b/>
          <w:sz w:val="28"/>
          <w:szCs w:val="28"/>
          <w:lang w:val="en-US"/>
        </w:rPr>
        <w:t xml:space="preserve"> </w:t>
      </w:r>
      <w:r w:rsidR="004379E3" w:rsidRPr="0068182D">
        <w:rPr>
          <w:rStyle w:val="hps"/>
          <w:rFonts w:ascii="Times New Roman" w:hAnsi="Times New Roman" w:cs="Times New Roman"/>
          <w:b/>
          <w:sz w:val="28"/>
          <w:szCs w:val="28"/>
          <w:lang w:val="en-US"/>
        </w:rPr>
        <w:t>expenditures</w:t>
      </w:r>
      <w:r w:rsidR="004379E3" w:rsidRPr="0068182D">
        <w:rPr>
          <w:rFonts w:ascii="Times New Roman" w:hAnsi="Times New Roman" w:cs="Times New Roman"/>
          <w:b/>
          <w:sz w:val="28"/>
          <w:szCs w:val="28"/>
          <w:lang w:val="en-US"/>
        </w:rPr>
        <w:t>.</w:t>
      </w:r>
      <w:r w:rsidR="004379E3" w:rsidRPr="0068182D">
        <w:rPr>
          <w:rFonts w:ascii="Times New Roman" w:hAnsi="Times New Roman" w:cs="Times New Roman"/>
          <w:b/>
          <w:sz w:val="28"/>
          <w:szCs w:val="28"/>
          <w:lang w:val="en-US"/>
        </w:rPr>
        <w:br/>
      </w:r>
    </w:p>
    <w:p w:rsidR="004379E3" w:rsidRPr="0068182D" w:rsidRDefault="004379E3" w:rsidP="00BE3110">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w:t>
      </w:r>
      <w:r w:rsidRPr="0068182D">
        <w:rPr>
          <w:rStyle w:val="apple-converted-space"/>
          <w:sz w:val="28"/>
          <w:szCs w:val="28"/>
          <w:lang w:val="en-US"/>
        </w:rPr>
        <w:t> </w:t>
      </w:r>
      <w:r w:rsidRPr="0068182D">
        <w:rPr>
          <w:b/>
          <w:bCs/>
          <w:sz w:val="28"/>
          <w:szCs w:val="28"/>
          <w:lang w:val="en-US"/>
        </w:rPr>
        <w:t>Federal budget of Russia</w:t>
      </w:r>
      <w:r w:rsidRPr="0068182D">
        <w:rPr>
          <w:rStyle w:val="apple-converted-space"/>
          <w:sz w:val="28"/>
          <w:szCs w:val="28"/>
          <w:lang w:val="en-US"/>
        </w:rPr>
        <w:t> </w:t>
      </w:r>
      <w:r w:rsidRPr="0068182D">
        <w:rPr>
          <w:sz w:val="28"/>
          <w:szCs w:val="28"/>
          <w:lang w:val="en-US"/>
        </w:rPr>
        <w:t>(</w:t>
      </w:r>
      <w:hyperlink r:id="rId428" w:tooltip="Russian language" w:history="1">
        <w:r w:rsidRPr="0068182D">
          <w:rPr>
            <w:rStyle w:val="a5"/>
            <w:color w:val="auto"/>
            <w:sz w:val="28"/>
            <w:szCs w:val="28"/>
            <w:u w:val="none"/>
            <w:lang w:val="en-US"/>
          </w:rPr>
          <w:t>Russian</w:t>
        </w:r>
      </w:hyperlink>
      <w:r w:rsidRPr="0068182D">
        <w:rPr>
          <w:sz w:val="28"/>
          <w:szCs w:val="28"/>
          <w:lang w:val="en-US"/>
        </w:rPr>
        <w:t>:</w:t>
      </w:r>
      <w:r w:rsidRPr="0068182D">
        <w:rPr>
          <w:rStyle w:val="apple-converted-space"/>
          <w:sz w:val="28"/>
          <w:szCs w:val="28"/>
          <w:lang w:val="en-US"/>
        </w:rPr>
        <w:t> </w:t>
      </w:r>
      <w:r w:rsidRPr="0068182D">
        <w:rPr>
          <w:sz w:val="28"/>
          <w:szCs w:val="28"/>
        </w:rPr>
        <w:t>Федеральный</w:t>
      </w:r>
      <w:r w:rsidRPr="0068182D">
        <w:rPr>
          <w:sz w:val="28"/>
          <w:szCs w:val="28"/>
          <w:lang w:val="en-US"/>
        </w:rPr>
        <w:t xml:space="preserve"> </w:t>
      </w:r>
      <w:r w:rsidRPr="0068182D">
        <w:rPr>
          <w:sz w:val="28"/>
          <w:szCs w:val="28"/>
        </w:rPr>
        <w:t>бюджет</w:t>
      </w:r>
      <w:r w:rsidRPr="0068182D">
        <w:rPr>
          <w:sz w:val="28"/>
          <w:szCs w:val="28"/>
          <w:lang w:val="en-US"/>
        </w:rPr>
        <w:t xml:space="preserve"> </w:t>
      </w:r>
      <w:r w:rsidRPr="0068182D">
        <w:rPr>
          <w:sz w:val="28"/>
          <w:szCs w:val="28"/>
        </w:rPr>
        <w:t>России</w:t>
      </w:r>
      <w:r w:rsidRPr="0068182D">
        <w:rPr>
          <w:sz w:val="28"/>
          <w:szCs w:val="28"/>
          <w:lang w:val="en-US"/>
        </w:rPr>
        <w:t>) is the leading element of the</w:t>
      </w:r>
      <w:r w:rsidRPr="0068182D">
        <w:rPr>
          <w:rStyle w:val="apple-converted-space"/>
          <w:sz w:val="28"/>
          <w:szCs w:val="28"/>
          <w:lang w:val="en-US"/>
        </w:rPr>
        <w:t> </w:t>
      </w:r>
      <w:hyperlink r:id="rId429" w:tooltip="Budget system of Russia (page does not exist)" w:history="1">
        <w:r w:rsidRPr="0068182D">
          <w:rPr>
            <w:rStyle w:val="a5"/>
            <w:color w:val="auto"/>
            <w:sz w:val="28"/>
            <w:szCs w:val="28"/>
            <w:u w:val="none"/>
            <w:lang w:val="en-US"/>
          </w:rPr>
          <w:t>Budget system of Russia</w:t>
        </w:r>
      </w:hyperlink>
      <w:r w:rsidRPr="0068182D">
        <w:rPr>
          <w:sz w:val="28"/>
          <w:szCs w:val="28"/>
          <w:lang w:val="en-US"/>
        </w:rPr>
        <w:t>. The federal budget is a major state financial plan for the fiscal year, which has the force of law after its approval by the</w:t>
      </w:r>
      <w:r w:rsidRPr="0068182D">
        <w:rPr>
          <w:rStyle w:val="apple-converted-space"/>
          <w:sz w:val="28"/>
          <w:szCs w:val="28"/>
          <w:lang w:val="en-US"/>
        </w:rPr>
        <w:t> </w:t>
      </w:r>
      <w:hyperlink r:id="rId430" w:tooltip="Federal Assembly of Russia" w:history="1">
        <w:r w:rsidRPr="0068182D">
          <w:rPr>
            <w:rStyle w:val="a5"/>
            <w:color w:val="auto"/>
            <w:sz w:val="28"/>
            <w:szCs w:val="28"/>
            <w:u w:val="none"/>
            <w:lang w:val="en-US"/>
          </w:rPr>
          <w:t>Russian parliament</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431" w:anchor="Approval" w:tooltip="Sign into law" w:history="1">
        <w:r w:rsidRPr="0068182D">
          <w:rPr>
            <w:rStyle w:val="a5"/>
            <w:color w:val="auto"/>
            <w:sz w:val="28"/>
            <w:szCs w:val="28"/>
            <w:u w:val="none"/>
            <w:lang w:val="en-US"/>
          </w:rPr>
          <w:t>signed into law</w:t>
        </w:r>
      </w:hyperlink>
      <w:r w:rsidRPr="0068182D">
        <w:rPr>
          <w:rStyle w:val="apple-converted-space"/>
          <w:sz w:val="28"/>
          <w:szCs w:val="28"/>
          <w:lang w:val="en-US"/>
        </w:rPr>
        <w:t> </w:t>
      </w:r>
      <w:r w:rsidRPr="0068182D">
        <w:rPr>
          <w:sz w:val="28"/>
          <w:szCs w:val="28"/>
          <w:lang w:val="en-US"/>
        </w:rPr>
        <w:t>by the</w:t>
      </w:r>
      <w:r w:rsidRPr="0068182D">
        <w:rPr>
          <w:rStyle w:val="apple-converted-space"/>
          <w:sz w:val="28"/>
          <w:szCs w:val="28"/>
          <w:lang w:val="en-US"/>
        </w:rPr>
        <w:t> </w:t>
      </w:r>
      <w:hyperlink r:id="rId432" w:tooltip="President of Russia" w:history="1">
        <w:r w:rsidRPr="0068182D">
          <w:rPr>
            <w:rStyle w:val="a5"/>
            <w:color w:val="auto"/>
            <w:sz w:val="28"/>
            <w:szCs w:val="28"/>
            <w:u w:val="none"/>
            <w:lang w:val="en-US"/>
          </w:rPr>
          <w:t>President of Russia</w:t>
        </w:r>
      </w:hyperlink>
      <w:r w:rsidRPr="0068182D">
        <w:rPr>
          <w:sz w:val="28"/>
          <w:szCs w:val="28"/>
          <w:lang w:val="en-US"/>
        </w:rPr>
        <w:t>. That the federal budget is the primary means of redistribution of national income and gross domestic product through it mobilized the financial resources necessary to regulate the country's economic development, social policy and the strengthening of the national defense. The share of federal budget accounts for a significant portion of the distribution process, which is the allocation of funds between sectors of the economy, manufacturing and industrial areas, regions of the country.</w:t>
      </w:r>
    </w:p>
    <w:p w:rsidR="004379E3" w:rsidRPr="0068182D" w:rsidRDefault="004379E3" w:rsidP="00BE3110">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right of the Russian Federation for an independent federal budget is enshrined by Article 71 of the</w:t>
      </w:r>
      <w:r w:rsidRPr="0068182D">
        <w:rPr>
          <w:rStyle w:val="apple-converted-space"/>
          <w:sz w:val="28"/>
          <w:szCs w:val="28"/>
          <w:lang w:val="en-US"/>
        </w:rPr>
        <w:t> </w:t>
      </w:r>
      <w:hyperlink r:id="rId433" w:tooltip="Constitution of Russia" w:history="1">
        <w:r w:rsidRPr="0068182D">
          <w:rPr>
            <w:rStyle w:val="a5"/>
            <w:color w:val="auto"/>
            <w:sz w:val="28"/>
            <w:szCs w:val="28"/>
            <w:u w:val="none"/>
            <w:lang w:val="en-US"/>
          </w:rPr>
          <w:t>Russian Constitution</w:t>
        </w:r>
      </w:hyperlink>
      <w:r w:rsidRPr="0068182D">
        <w:rPr>
          <w:rStyle w:val="apple-converted-space"/>
          <w:sz w:val="28"/>
          <w:szCs w:val="28"/>
          <w:lang w:val="en-US"/>
        </w:rPr>
        <w:t> </w:t>
      </w:r>
      <w:r w:rsidRPr="0068182D">
        <w:rPr>
          <w:sz w:val="28"/>
          <w:szCs w:val="28"/>
          <w:lang w:val="en-US"/>
        </w:rPr>
        <w:t>and the</w:t>
      </w:r>
      <w:r w:rsidRPr="0068182D">
        <w:rPr>
          <w:rStyle w:val="apple-converted-space"/>
          <w:sz w:val="28"/>
          <w:szCs w:val="28"/>
          <w:lang w:val="en-US"/>
        </w:rPr>
        <w:t> </w:t>
      </w:r>
      <w:hyperlink r:id="rId434" w:tooltip="Budget Code of Russia (page does not exist)" w:history="1">
        <w:r w:rsidRPr="0068182D">
          <w:rPr>
            <w:rStyle w:val="a5"/>
            <w:color w:val="auto"/>
            <w:sz w:val="28"/>
            <w:szCs w:val="28"/>
            <w:u w:val="none"/>
            <w:lang w:val="en-US"/>
          </w:rPr>
          <w:t>Budget Code of Russia</w:t>
        </w:r>
      </w:hyperlink>
      <w:r w:rsidRPr="0068182D">
        <w:rPr>
          <w:rStyle w:val="apple-converted-space"/>
          <w:sz w:val="28"/>
          <w:szCs w:val="28"/>
          <w:lang w:val="en-US"/>
        </w:rPr>
        <w:t> </w:t>
      </w:r>
      <w:r w:rsidRPr="0068182D">
        <w:rPr>
          <w:sz w:val="28"/>
          <w:szCs w:val="28"/>
          <w:lang w:val="en-US"/>
        </w:rPr>
        <w:t>that regulates the details of its formation and execution.</w:t>
      </w:r>
    </w:p>
    <w:p w:rsidR="004379E3" w:rsidRPr="0068182D" w:rsidRDefault="004379E3" w:rsidP="00BE3110">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In 2016, the Russian budget deficit reaches to $21Bln. It was expected to rise to the amount of $21.7 billion in the year. 2016 budget's revenues estimated to be 13.7 trillion rubles(200 billion US dollars) or 17.5% of GDP, while spending is planned to be 16 trillion rubles(roughly 233 billion dollars)</w:t>
      </w:r>
      <w:hyperlink r:id="rId435" w:anchor="cite_note-1" w:history="1">
        <w:r w:rsidRPr="0068182D">
          <w:rPr>
            <w:rStyle w:val="a5"/>
            <w:color w:val="auto"/>
            <w:sz w:val="28"/>
            <w:szCs w:val="28"/>
            <w:u w:val="none"/>
            <w:vertAlign w:val="superscript"/>
            <w:lang w:val="en-US"/>
          </w:rPr>
          <w:t>[1]</w:t>
        </w:r>
      </w:hyperlink>
      <w:r w:rsidRPr="0068182D">
        <w:rPr>
          <w:rStyle w:val="apple-converted-space"/>
          <w:sz w:val="28"/>
          <w:szCs w:val="28"/>
          <w:lang w:val="en-US"/>
        </w:rPr>
        <w:t> </w:t>
      </w:r>
      <w:r w:rsidRPr="0068182D">
        <w:rPr>
          <w:sz w:val="28"/>
          <w:szCs w:val="28"/>
          <w:lang w:val="en-US"/>
        </w:rPr>
        <w:t>or 20.5% of GDP. Budget deficit thus is 2.35 trillion rubles(33 billion dollars) or 3% of GDP.</w:t>
      </w:r>
    </w:p>
    <w:p w:rsidR="004379E3" w:rsidRPr="0068182D" w:rsidRDefault="004379E3" w:rsidP="00BE3110">
      <w:pPr>
        <w:pBdr>
          <w:bottom w:val="single" w:sz="6" w:space="0" w:color="A2A9B1"/>
        </w:pBdr>
        <w:shd w:val="clear" w:color="auto" w:fill="FFFFFF"/>
        <w:spacing w:after="0" w:line="240" w:lineRule="auto"/>
        <w:ind w:firstLine="567"/>
        <w:jc w:val="both"/>
        <w:outlineLvl w:val="1"/>
        <w:rPr>
          <w:rFonts w:ascii="Times New Roman" w:hAnsi="Times New Roman" w:cs="Times New Roman"/>
          <w:sz w:val="28"/>
          <w:szCs w:val="28"/>
          <w:lang w:val="en-US"/>
        </w:rPr>
      </w:pPr>
      <w:r w:rsidRPr="0068182D">
        <w:rPr>
          <w:rFonts w:ascii="Times New Roman" w:hAnsi="Times New Roman" w:cs="Times New Roman"/>
          <w:sz w:val="28"/>
          <w:szCs w:val="28"/>
          <w:lang w:val="en-US"/>
        </w:rPr>
        <w:t>Budget Process</w:t>
      </w:r>
    </w:p>
    <w:p w:rsidR="004379E3" w:rsidRPr="0068182D" w:rsidRDefault="004379E3" w:rsidP="00BE3110">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accordance with the Budget Code, the </w:t>
      </w:r>
      <w:hyperlink r:id="rId436" w:tooltip="Russian government" w:history="1">
        <w:r w:rsidRPr="0068182D">
          <w:rPr>
            <w:rFonts w:ascii="Times New Roman" w:hAnsi="Times New Roman" w:cs="Times New Roman"/>
            <w:sz w:val="28"/>
            <w:szCs w:val="28"/>
            <w:lang w:val="en-US"/>
          </w:rPr>
          <w:t>Russian government</w:t>
        </w:r>
      </w:hyperlink>
      <w:r w:rsidRPr="0068182D">
        <w:rPr>
          <w:rFonts w:ascii="Times New Roman" w:hAnsi="Times New Roman" w:cs="Times New Roman"/>
          <w:sz w:val="28"/>
          <w:szCs w:val="28"/>
          <w:lang w:val="en-US"/>
        </w:rPr>
        <w:t> prepare and introduce the </w:t>
      </w:r>
      <w:hyperlink r:id="rId437" w:tooltip="State Duma" w:history="1">
        <w:r w:rsidRPr="0068182D">
          <w:rPr>
            <w:rFonts w:ascii="Times New Roman" w:hAnsi="Times New Roman" w:cs="Times New Roman"/>
            <w:sz w:val="28"/>
            <w:szCs w:val="28"/>
            <w:lang w:val="en-US"/>
          </w:rPr>
          <w:t>State Duma</w:t>
        </w:r>
      </w:hyperlink>
      <w:r w:rsidRPr="0068182D">
        <w:rPr>
          <w:rFonts w:ascii="Times New Roman" w:hAnsi="Times New Roman" w:cs="Times New Roman"/>
          <w:sz w:val="28"/>
          <w:szCs w:val="28"/>
          <w:lang w:val="en-US"/>
        </w:rPr>
        <w:t>, the </w:t>
      </w:r>
      <w:hyperlink r:id="rId438" w:tooltip="Lower house" w:history="1">
        <w:r w:rsidRPr="0068182D">
          <w:rPr>
            <w:rFonts w:ascii="Times New Roman" w:hAnsi="Times New Roman" w:cs="Times New Roman"/>
            <w:sz w:val="28"/>
            <w:szCs w:val="28"/>
            <w:lang w:val="en-US"/>
          </w:rPr>
          <w:t>lower house</w:t>
        </w:r>
      </w:hyperlink>
      <w:r w:rsidRPr="0068182D">
        <w:rPr>
          <w:rFonts w:ascii="Times New Roman" w:hAnsi="Times New Roman" w:cs="Times New Roman"/>
          <w:sz w:val="28"/>
          <w:szCs w:val="28"/>
          <w:lang w:val="en-US"/>
        </w:rPr>
        <w:t> of the </w:t>
      </w:r>
      <w:hyperlink r:id="rId439" w:tooltip="Federal Assembly of Russia" w:history="1">
        <w:r w:rsidRPr="0068182D">
          <w:rPr>
            <w:rFonts w:ascii="Times New Roman" w:hAnsi="Times New Roman" w:cs="Times New Roman"/>
            <w:sz w:val="28"/>
            <w:szCs w:val="28"/>
            <w:lang w:val="en-US"/>
          </w:rPr>
          <w:t>Russian parliament</w:t>
        </w:r>
      </w:hyperlink>
      <w:r w:rsidRPr="0068182D">
        <w:rPr>
          <w:rFonts w:ascii="Times New Roman" w:hAnsi="Times New Roman" w:cs="Times New Roman"/>
          <w:sz w:val="28"/>
          <w:szCs w:val="28"/>
          <w:lang w:val="en-US"/>
        </w:rPr>
        <w:t> a draft federal budget for next </w:t>
      </w:r>
      <w:hyperlink r:id="rId440" w:tooltip="Fiscal year" w:history="1">
        <w:r w:rsidRPr="0068182D">
          <w:rPr>
            <w:rFonts w:ascii="Times New Roman" w:hAnsi="Times New Roman" w:cs="Times New Roman"/>
            <w:sz w:val="28"/>
            <w:szCs w:val="28"/>
            <w:lang w:val="en-US"/>
          </w:rPr>
          <w:t>fiscal year</w:t>
        </w:r>
      </w:hyperlink>
      <w:r w:rsidRPr="0068182D">
        <w:rPr>
          <w:rFonts w:ascii="Times New Roman" w:hAnsi="Times New Roman" w:cs="Times New Roman"/>
          <w:sz w:val="28"/>
          <w:szCs w:val="28"/>
          <w:lang w:val="en-US"/>
        </w:rPr>
        <w:t> no later than October 1 of this year. The federal budget is developed in accordance with the provisions of the annual budget message of the President of the Russian Federation.</w:t>
      </w:r>
    </w:p>
    <w:p w:rsidR="004379E3" w:rsidRPr="0068182D" w:rsidRDefault="004379E3" w:rsidP="00BE3110">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federal budget is considered the State Duma in three readings (amendments to the Code). At first reading, the basic parameters of the budget are adopted. According to the Budget Code, during the first reading of the State Duma has the right to increase revenues and the federal budget deficit, if these changes are not the endorsement of the government. The State Duma can reject the draft budget. In this case, a </w:t>
      </w:r>
      <w:hyperlink r:id="rId441" w:tooltip="Conciliation commission (page does not exist)" w:history="1">
        <w:r w:rsidRPr="0068182D">
          <w:rPr>
            <w:rFonts w:ascii="Times New Roman" w:hAnsi="Times New Roman" w:cs="Times New Roman"/>
            <w:sz w:val="28"/>
            <w:szCs w:val="28"/>
            <w:lang w:val="en-US"/>
          </w:rPr>
          <w:t>conciliation commission</w:t>
        </w:r>
      </w:hyperlink>
      <w:r w:rsidRPr="0068182D">
        <w:rPr>
          <w:rFonts w:ascii="Times New Roman" w:hAnsi="Times New Roman" w:cs="Times New Roman"/>
          <w:sz w:val="28"/>
          <w:szCs w:val="28"/>
          <w:lang w:val="en-US"/>
        </w:rPr>
        <w:t> in conjunction with the government. In the second reading of the State Duma approves the budget section by section, and the third is on the budget law as a whole. Following the adoption of the State Duma the federal budget, the law goes to the </w:t>
      </w:r>
      <w:hyperlink r:id="rId442" w:tooltip="Federation Council of Russia" w:history="1">
        <w:r w:rsidRPr="0068182D">
          <w:rPr>
            <w:rFonts w:ascii="Times New Roman" w:hAnsi="Times New Roman" w:cs="Times New Roman"/>
            <w:sz w:val="28"/>
            <w:szCs w:val="28"/>
            <w:lang w:val="en-US"/>
          </w:rPr>
          <w:t>Federation Council</w:t>
        </w:r>
      </w:hyperlink>
      <w:r w:rsidRPr="0068182D">
        <w:rPr>
          <w:rFonts w:ascii="Times New Roman" w:hAnsi="Times New Roman" w:cs="Times New Roman"/>
          <w:sz w:val="28"/>
          <w:szCs w:val="28"/>
          <w:lang w:val="en-US"/>
        </w:rPr>
        <w:t>, the </w:t>
      </w:r>
      <w:hyperlink r:id="rId443" w:tooltip="Upper house" w:history="1">
        <w:r w:rsidRPr="0068182D">
          <w:rPr>
            <w:rFonts w:ascii="Times New Roman" w:hAnsi="Times New Roman" w:cs="Times New Roman"/>
            <w:sz w:val="28"/>
            <w:szCs w:val="28"/>
            <w:lang w:val="en-US"/>
          </w:rPr>
          <w:t>upper house</w:t>
        </w:r>
      </w:hyperlink>
      <w:r w:rsidRPr="0068182D">
        <w:rPr>
          <w:rFonts w:ascii="Times New Roman" w:hAnsi="Times New Roman" w:cs="Times New Roman"/>
          <w:sz w:val="28"/>
          <w:szCs w:val="28"/>
          <w:lang w:val="en-US"/>
        </w:rPr>
        <w:t> of the parliament, and then signed into law by the President.</w:t>
      </w:r>
    </w:p>
    <w:p w:rsidR="004379E3" w:rsidRPr="0068182D" w:rsidRDefault="004379E3" w:rsidP="00BE3110">
      <w:pPr>
        <w:pStyle w:val="2"/>
        <w:pBdr>
          <w:bottom w:val="single" w:sz="6" w:space="0" w:color="A2A9B1"/>
        </w:pBdr>
        <w:shd w:val="clear" w:color="auto" w:fill="FFFFFF"/>
        <w:spacing w:before="0" w:beforeAutospacing="0" w:after="0" w:afterAutospacing="0"/>
        <w:ind w:firstLine="567"/>
        <w:jc w:val="both"/>
        <w:rPr>
          <w:b w:val="0"/>
          <w:bCs w:val="0"/>
          <w:sz w:val="28"/>
          <w:szCs w:val="28"/>
          <w:lang w:val="en-US"/>
        </w:rPr>
      </w:pPr>
      <w:r w:rsidRPr="0068182D">
        <w:rPr>
          <w:rStyle w:val="mw-headline"/>
          <w:b w:val="0"/>
          <w:bCs w:val="0"/>
          <w:sz w:val="28"/>
          <w:szCs w:val="28"/>
          <w:lang w:val="en-US"/>
        </w:rPr>
        <w:t>Structure</w:t>
      </w:r>
    </w:p>
    <w:p w:rsidR="004379E3" w:rsidRPr="0068182D" w:rsidRDefault="004379E3" w:rsidP="00BE3110">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Difficulties in implementing fiscal reforms aimed at raising government revenues and a dependence on short-term borrowing to finance budget deficits led to a</w:t>
      </w:r>
      <w:r w:rsidRPr="0068182D">
        <w:rPr>
          <w:rStyle w:val="apple-converted-space"/>
          <w:sz w:val="28"/>
          <w:szCs w:val="28"/>
          <w:lang w:val="en-US"/>
        </w:rPr>
        <w:t> </w:t>
      </w:r>
      <w:hyperlink r:id="rId444" w:tooltip="1998 Russian financial crisis" w:history="1">
        <w:r w:rsidRPr="0068182D">
          <w:rPr>
            <w:rStyle w:val="a5"/>
            <w:color w:val="auto"/>
            <w:sz w:val="28"/>
            <w:szCs w:val="28"/>
            <w:u w:val="none"/>
            <w:lang w:val="en-US"/>
          </w:rPr>
          <w:t>serious financial crisis in 1998</w:t>
        </w:r>
      </w:hyperlink>
      <w:r w:rsidRPr="0068182D">
        <w:rPr>
          <w:sz w:val="28"/>
          <w:szCs w:val="28"/>
          <w:lang w:val="en-US"/>
        </w:rPr>
        <w:t>. The Russian economy bounced back quickly from the 1998 crisis and enjoyed over 9 years of sustained growth averaging about 7% due to a devalued ruble, implementation of key economic reforms (</w:t>
      </w:r>
      <w:hyperlink r:id="rId445" w:tooltip="Tax Code of Russia" w:history="1">
        <w:r w:rsidRPr="0068182D">
          <w:rPr>
            <w:rStyle w:val="a5"/>
            <w:color w:val="auto"/>
            <w:sz w:val="28"/>
            <w:szCs w:val="28"/>
            <w:u w:val="none"/>
            <w:lang w:val="en-US"/>
          </w:rPr>
          <w:t>taxation</w:t>
        </w:r>
      </w:hyperlink>
      <w:r w:rsidRPr="0068182D">
        <w:rPr>
          <w:sz w:val="28"/>
          <w:szCs w:val="28"/>
          <w:lang w:val="en-US"/>
        </w:rPr>
        <w:t>,</w:t>
      </w:r>
      <w:r w:rsidRPr="0068182D">
        <w:rPr>
          <w:rStyle w:val="apple-converted-space"/>
          <w:sz w:val="28"/>
          <w:szCs w:val="28"/>
          <w:lang w:val="en-US"/>
        </w:rPr>
        <w:t> </w:t>
      </w:r>
      <w:hyperlink r:id="rId446" w:tooltip="Banking in Russia" w:history="1">
        <w:r w:rsidRPr="0068182D">
          <w:rPr>
            <w:rStyle w:val="a5"/>
            <w:color w:val="auto"/>
            <w:sz w:val="28"/>
            <w:szCs w:val="28"/>
            <w:u w:val="none"/>
            <w:lang w:val="en-US"/>
          </w:rPr>
          <w:t>banking</w:t>
        </w:r>
      </w:hyperlink>
      <w:r w:rsidRPr="0068182D">
        <w:rPr>
          <w:sz w:val="28"/>
          <w:szCs w:val="28"/>
          <w:lang w:val="en-US"/>
        </w:rPr>
        <w:t>, labor and</w:t>
      </w:r>
      <w:r w:rsidRPr="0068182D">
        <w:rPr>
          <w:rStyle w:val="apple-converted-space"/>
          <w:sz w:val="28"/>
          <w:szCs w:val="28"/>
          <w:lang w:val="en-US"/>
        </w:rPr>
        <w:t> </w:t>
      </w:r>
      <w:hyperlink r:id="rId447" w:tooltip="Land Code of Russia (page does not exist)" w:history="1">
        <w:r w:rsidRPr="0068182D">
          <w:rPr>
            <w:rStyle w:val="a5"/>
            <w:color w:val="auto"/>
            <w:sz w:val="28"/>
            <w:szCs w:val="28"/>
            <w:u w:val="none"/>
            <w:lang w:val="en-US"/>
          </w:rPr>
          <w:t>land</w:t>
        </w:r>
      </w:hyperlink>
      <w:r w:rsidRPr="0068182D">
        <w:rPr>
          <w:rStyle w:val="apple-converted-space"/>
          <w:sz w:val="28"/>
          <w:szCs w:val="28"/>
          <w:lang w:val="en-US"/>
        </w:rPr>
        <w:t> </w:t>
      </w:r>
      <w:r w:rsidRPr="0068182D">
        <w:rPr>
          <w:sz w:val="28"/>
          <w:szCs w:val="28"/>
          <w:lang w:val="en-US"/>
        </w:rPr>
        <w:t>codes), tight fiscal policy, and favorable commodities prices. Russia ran a budget surplus from 2001 to 2008 when</w:t>
      </w:r>
      <w:r w:rsidRPr="0068182D">
        <w:rPr>
          <w:rStyle w:val="apple-converted-space"/>
          <w:sz w:val="28"/>
          <w:szCs w:val="28"/>
          <w:lang w:val="en-US"/>
        </w:rPr>
        <w:t> </w:t>
      </w:r>
      <w:hyperlink r:id="rId448" w:tooltip="2008 Russian financial crisis" w:history="1">
        <w:r w:rsidRPr="0068182D">
          <w:rPr>
            <w:rStyle w:val="a5"/>
            <w:color w:val="auto"/>
            <w:sz w:val="28"/>
            <w:szCs w:val="28"/>
            <w:u w:val="none"/>
            <w:lang w:val="en-US"/>
          </w:rPr>
          <w:t>a financial crisis occurred</w:t>
        </w:r>
      </w:hyperlink>
      <w:r w:rsidRPr="0068182D">
        <w:rPr>
          <w:sz w:val="28"/>
          <w:szCs w:val="28"/>
          <w:lang w:val="en-US"/>
        </w:rPr>
        <w:t>.</w:t>
      </w:r>
    </w:p>
    <w:p w:rsidR="004379E3" w:rsidRPr="0068182D" w:rsidRDefault="004379E3" w:rsidP="00BE3110">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Although the government revised its budget projections during 2009 to reflect lower oil prices and the effects of the economic crisis, it ended the year with a budget deficit amounting to 7.9% of GDP, which it financed from the Reserve Fund, one of the government’s two stabilization funds. The government’s anti-crisis package in 2008 and 2009 amounted to about 6.7% of GDP, according to</w:t>
      </w:r>
      <w:r w:rsidRPr="0068182D">
        <w:rPr>
          <w:rStyle w:val="apple-converted-space"/>
          <w:sz w:val="28"/>
          <w:szCs w:val="28"/>
          <w:lang w:val="en-US"/>
        </w:rPr>
        <w:t> </w:t>
      </w:r>
      <w:hyperlink r:id="rId449" w:tooltip="World Bank" w:history="1">
        <w:r w:rsidRPr="0068182D">
          <w:rPr>
            <w:rStyle w:val="a5"/>
            <w:color w:val="auto"/>
            <w:sz w:val="28"/>
            <w:szCs w:val="28"/>
            <w:u w:val="none"/>
            <w:lang w:val="en-US"/>
          </w:rPr>
          <w:t>World Bank</w:t>
        </w:r>
      </w:hyperlink>
      <w:r w:rsidRPr="0068182D">
        <w:rPr>
          <w:rStyle w:val="apple-converted-space"/>
          <w:sz w:val="28"/>
          <w:szCs w:val="28"/>
          <w:lang w:val="en-US"/>
        </w:rPr>
        <w:t> </w:t>
      </w:r>
      <w:r w:rsidRPr="0068182D">
        <w:rPr>
          <w:sz w:val="28"/>
          <w:szCs w:val="28"/>
          <w:lang w:val="en-US"/>
        </w:rPr>
        <w:t>estimates. The package provided support to the</w:t>
      </w:r>
      <w:r w:rsidRPr="0068182D">
        <w:rPr>
          <w:rStyle w:val="apple-converted-space"/>
          <w:sz w:val="28"/>
          <w:szCs w:val="28"/>
          <w:lang w:val="en-US"/>
        </w:rPr>
        <w:t> </w:t>
      </w:r>
      <w:hyperlink r:id="rId450" w:tooltip="Financial sector" w:history="1">
        <w:r w:rsidRPr="0068182D">
          <w:rPr>
            <w:rStyle w:val="a5"/>
            <w:color w:val="auto"/>
            <w:sz w:val="28"/>
            <w:szCs w:val="28"/>
            <w:u w:val="none"/>
            <w:lang w:val="en-US"/>
          </w:rPr>
          <w:t>financial sector</w:t>
        </w:r>
      </w:hyperlink>
      <w:r w:rsidRPr="0068182D">
        <w:rPr>
          <w:rStyle w:val="apple-converted-space"/>
          <w:sz w:val="28"/>
          <w:szCs w:val="28"/>
          <w:lang w:val="en-US"/>
        </w:rPr>
        <w:t> </w:t>
      </w:r>
      <w:r w:rsidRPr="0068182D">
        <w:rPr>
          <w:sz w:val="28"/>
          <w:szCs w:val="28"/>
          <w:lang w:val="en-US"/>
        </w:rPr>
        <w:t>and enterprises through liquidity injections to banks and tax cuts/fiscal support to enterprises as well as modest support for</w:t>
      </w:r>
      <w:r w:rsidRPr="0068182D">
        <w:rPr>
          <w:rStyle w:val="apple-converted-space"/>
          <w:sz w:val="28"/>
          <w:szCs w:val="28"/>
          <w:lang w:val="en-US"/>
        </w:rPr>
        <w:t> </w:t>
      </w:r>
      <w:hyperlink r:id="rId451" w:tooltip="Household" w:history="1">
        <w:r w:rsidRPr="0068182D">
          <w:rPr>
            <w:rStyle w:val="a5"/>
            <w:color w:val="auto"/>
            <w:sz w:val="28"/>
            <w:szCs w:val="28"/>
            <w:u w:val="none"/>
            <w:lang w:val="en-US"/>
          </w:rPr>
          <w:t>households</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452" w:tooltip="Small and medium enterprises" w:history="1">
        <w:r w:rsidRPr="0068182D">
          <w:rPr>
            <w:rStyle w:val="a5"/>
            <w:color w:val="auto"/>
            <w:sz w:val="28"/>
            <w:szCs w:val="28"/>
            <w:u w:val="none"/>
            <w:lang w:val="en-US"/>
          </w:rPr>
          <w:t>small and medium enterprises</w:t>
        </w:r>
      </w:hyperlink>
      <w:r w:rsidRPr="0068182D">
        <w:rPr>
          <w:rStyle w:val="apple-converted-space"/>
          <w:sz w:val="28"/>
          <w:szCs w:val="28"/>
          <w:lang w:val="en-US"/>
        </w:rPr>
        <w:t> </w:t>
      </w:r>
      <w:r w:rsidRPr="0068182D">
        <w:rPr>
          <w:sz w:val="28"/>
          <w:szCs w:val="28"/>
          <w:lang w:val="en-US"/>
        </w:rPr>
        <w:t>and increased</w:t>
      </w:r>
      <w:r w:rsidRPr="0068182D">
        <w:rPr>
          <w:rStyle w:val="apple-converted-space"/>
          <w:sz w:val="28"/>
          <w:szCs w:val="28"/>
          <w:lang w:val="en-US"/>
        </w:rPr>
        <w:t> </w:t>
      </w:r>
      <w:hyperlink r:id="rId453" w:tooltip="Unemployment benefits" w:history="1">
        <w:r w:rsidRPr="0068182D">
          <w:rPr>
            <w:rStyle w:val="a5"/>
            <w:color w:val="auto"/>
            <w:sz w:val="28"/>
            <w:szCs w:val="28"/>
            <w:u w:val="none"/>
            <w:lang w:val="en-US"/>
          </w:rPr>
          <w:t>unemployment benefits</w:t>
        </w:r>
      </w:hyperlink>
      <w:r w:rsidRPr="0068182D">
        <w:rPr>
          <w:sz w:val="28"/>
          <w:szCs w:val="28"/>
          <w:lang w:val="en-US"/>
        </w:rPr>
        <w:t>.</w:t>
      </w:r>
    </w:p>
    <w:p w:rsidR="004379E3" w:rsidRPr="0068182D" w:rsidRDefault="004379E3" w:rsidP="00BE3110">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In recent years, the highest rate of increased fiscal revenues associated with the production and export of</w:t>
      </w:r>
      <w:r w:rsidRPr="0068182D">
        <w:rPr>
          <w:rStyle w:val="apple-converted-space"/>
          <w:sz w:val="28"/>
          <w:szCs w:val="28"/>
          <w:lang w:val="en-US"/>
        </w:rPr>
        <w:t> </w:t>
      </w:r>
      <w:hyperlink r:id="rId454" w:tooltip="Mineral resources" w:history="1">
        <w:r w:rsidRPr="0068182D">
          <w:rPr>
            <w:rStyle w:val="a5"/>
            <w:color w:val="auto"/>
            <w:sz w:val="28"/>
            <w:szCs w:val="28"/>
            <w:u w:val="none"/>
            <w:lang w:val="en-US"/>
          </w:rPr>
          <w:t>mineral resources</w:t>
        </w:r>
      </w:hyperlink>
      <w:r w:rsidRPr="0068182D">
        <w:rPr>
          <w:rStyle w:val="apple-converted-space"/>
          <w:sz w:val="28"/>
          <w:szCs w:val="28"/>
          <w:lang w:val="en-US"/>
        </w:rPr>
        <w:t> </w:t>
      </w:r>
      <w:r w:rsidRPr="0068182D">
        <w:rPr>
          <w:sz w:val="28"/>
          <w:szCs w:val="28"/>
          <w:lang w:val="en-US"/>
        </w:rPr>
        <w:t>(tax on</w:t>
      </w:r>
      <w:r w:rsidRPr="0068182D">
        <w:rPr>
          <w:rStyle w:val="apple-converted-space"/>
          <w:sz w:val="28"/>
          <w:szCs w:val="28"/>
          <w:lang w:val="en-US"/>
        </w:rPr>
        <w:t> </w:t>
      </w:r>
      <w:hyperlink r:id="rId455" w:tooltip="Mineral extraction" w:history="1">
        <w:r w:rsidRPr="0068182D">
          <w:rPr>
            <w:rStyle w:val="a5"/>
            <w:color w:val="auto"/>
            <w:sz w:val="28"/>
            <w:szCs w:val="28"/>
            <w:u w:val="none"/>
            <w:lang w:val="en-US"/>
          </w:rPr>
          <w:t>mineral extraction</w:t>
        </w:r>
      </w:hyperlink>
      <w:r w:rsidRPr="0068182D">
        <w:rPr>
          <w:sz w:val="28"/>
          <w:szCs w:val="28"/>
          <w:lang w:val="en-US"/>
        </w:rPr>
        <w:t>, oil</w:t>
      </w:r>
      <w:r w:rsidRPr="0068182D">
        <w:rPr>
          <w:rStyle w:val="apple-converted-space"/>
          <w:sz w:val="28"/>
          <w:szCs w:val="28"/>
          <w:lang w:val="en-US"/>
        </w:rPr>
        <w:t> </w:t>
      </w:r>
      <w:hyperlink r:id="rId456" w:tooltip="Export duties" w:history="1">
        <w:r w:rsidRPr="0068182D">
          <w:rPr>
            <w:rStyle w:val="a5"/>
            <w:color w:val="auto"/>
            <w:sz w:val="28"/>
            <w:szCs w:val="28"/>
            <w:u w:val="none"/>
            <w:lang w:val="en-US"/>
          </w:rPr>
          <w:t>export duties</w:t>
        </w:r>
      </w:hyperlink>
      <w:r w:rsidRPr="0068182D">
        <w:rPr>
          <w:sz w:val="28"/>
          <w:szCs w:val="28"/>
          <w:lang w:val="en-US"/>
        </w:rPr>
        <w:t>, etc.). In particular, the 2008 federal budget of Russia was formed on 50% oil and gas revenues (in 2006 the share of oil and gas revenues accounted for more than half, in 2003 it accounted for a quarter of the total income).</w:t>
      </w:r>
    </w:p>
    <w:p w:rsidR="004379E3" w:rsidRPr="0068182D" w:rsidRDefault="004379E3" w:rsidP="00BE3110">
      <w:pPr>
        <w:pStyle w:val="2"/>
        <w:shd w:val="clear" w:color="auto" w:fill="FFFFFF"/>
        <w:spacing w:before="0" w:beforeAutospacing="0" w:after="0" w:afterAutospacing="0"/>
        <w:ind w:firstLine="567"/>
        <w:jc w:val="both"/>
        <w:rPr>
          <w:b w:val="0"/>
          <w:bCs w:val="0"/>
          <w:sz w:val="28"/>
          <w:szCs w:val="28"/>
          <w:lang w:val="en-US"/>
        </w:rPr>
      </w:pPr>
      <w:r w:rsidRPr="0068182D">
        <w:rPr>
          <w:b w:val="0"/>
          <w:bCs w:val="0"/>
          <w:sz w:val="28"/>
          <w:szCs w:val="28"/>
          <w:lang w:val="en-US"/>
        </w:rPr>
        <w:t>Russia recorded a Government Budget deficit equal to 2.60 percent of the country's Gross Domestic Product in 2015. Government Budget in Russia averaged 1.42 percent of GDP from 1994 until 2015, reaching an all time high of 9.88 percent of GDP in 2005 and a record low of -7.90 percent of GDP in 2009.</w:t>
      </w:r>
    </w:p>
    <w:p w:rsidR="004379E3" w:rsidRPr="0068182D" w:rsidRDefault="004379E3" w:rsidP="00C40532">
      <w:pPr>
        <w:pStyle w:val="2"/>
        <w:shd w:val="clear" w:color="auto" w:fill="FFFFFF"/>
        <w:spacing w:before="0" w:beforeAutospacing="0" w:after="0" w:afterAutospacing="0"/>
        <w:jc w:val="both"/>
        <w:rPr>
          <w:b w:val="0"/>
          <w:bCs w:val="0"/>
          <w:color w:val="000000"/>
          <w:sz w:val="28"/>
          <w:szCs w:val="28"/>
        </w:rPr>
      </w:pPr>
      <w:r w:rsidRPr="0068182D">
        <w:rPr>
          <w:noProof/>
          <w:sz w:val="28"/>
          <w:szCs w:val="28"/>
        </w:rPr>
        <w:drawing>
          <wp:inline distT="0" distB="0" distL="0" distR="0">
            <wp:extent cx="6120765" cy="2851771"/>
            <wp:effectExtent l="19050" t="0" r="0" b="0"/>
            <wp:docPr id="11" name="Рисунок 5" descr="Russia Government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ussia Government Budget"/>
                    <pic:cNvPicPr>
                      <a:picLocks noChangeAspect="1" noChangeArrowheads="1"/>
                    </pic:cNvPicPr>
                  </pic:nvPicPr>
                  <pic:blipFill>
                    <a:blip r:embed="rId457"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tbl>
      <w:tblPr>
        <w:tblW w:w="9822" w:type="dxa"/>
        <w:tblLayout w:type="fixed"/>
        <w:tblCellMar>
          <w:top w:w="15" w:type="dxa"/>
          <w:left w:w="15" w:type="dxa"/>
          <w:bottom w:w="15" w:type="dxa"/>
          <w:right w:w="15" w:type="dxa"/>
        </w:tblCellMar>
        <w:tblLook w:val="04A0"/>
      </w:tblPr>
      <w:tblGrid>
        <w:gridCol w:w="1981"/>
        <w:gridCol w:w="1165"/>
        <w:gridCol w:w="1602"/>
        <w:gridCol w:w="1742"/>
        <w:gridCol w:w="1602"/>
        <w:gridCol w:w="1113"/>
        <w:gridCol w:w="617"/>
      </w:tblGrid>
      <w:tr w:rsidR="004379E3" w:rsidRPr="009663D3" w:rsidTr="009663D3">
        <w:trPr>
          <w:trHeight w:val="447"/>
          <w:tblHeader/>
        </w:trPr>
        <w:tc>
          <w:tcPr>
            <w:tcW w:w="1981" w:type="dxa"/>
            <w:tcBorders>
              <w:top w:val="single" w:sz="4" w:space="0" w:color="auto"/>
              <w:left w:val="single" w:sz="4" w:space="0" w:color="auto"/>
              <w:bottom w:val="single" w:sz="4" w:space="0" w:color="auto"/>
              <w:right w:val="single" w:sz="4" w:space="0" w:color="auto"/>
            </w:tcBorders>
            <w:shd w:val="clear" w:color="auto" w:fill="FAFAFA"/>
            <w:tcMar>
              <w:top w:w="136" w:type="dxa"/>
              <w:left w:w="169"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br/>
              <w:t>Russia Government</w:t>
            </w:r>
          </w:p>
        </w:tc>
        <w:tc>
          <w:tcPr>
            <w:tcW w:w="1165" w:type="dxa"/>
            <w:tcBorders>
              <w:top w:val="single" w:sz="4" w:space="0" w:color="auto"/>
              <w:left w:val="single" w:sz="4" w:space="0" w:color="auto"/>
              <w:bottom w:val="single" w:sz="4" w:space="0" w:color="auto"/>
              <w:right w:val="single" w:sz="4" w:space="0" w:color="auto"/>
            </w:tcBorders>
            <w:shd w:val="clear" w:color="auto" w:fill="FAFAFA"/>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Last</w:t>
            </w:r>
          </w:p>
        </w:tc>
        <w:tc>
          <w:tcPr>
            <w:tcW w:w="1602" w:type="dxa"/>
            <w:tcBorders>
              <w:top w:val="single" w:sz="4" w:space="0" w:color="auto"/>
              <w:left w:val="single" w:sz="4" w:space="0" w:color="auto"/>
              <w:bottom w:val="single" w:sz="4" w:space="0" w:color="auto"/>
              <w:right w:val="single" w:sz="4" w:space="0" w:color="auto"/>
            </w:tcBorders>
            <w:shd w:val="clear" w:color="auto" w:fill="FAFAFA"/>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Previous</w:t>
            </w:r>
          </w:p>
        </w:tc>
        <w:tc>
          <w:tcPr>
            <w:tcW w:w="1742" w:type="dxa"/>
            <w:tcBorders>
              <w:top w:val="single" w:sz="4" w:space="0" w:color="auto"/>
              <w:left w:val="single" w:sz="4" w:space="0" w:color="auto"/>
              <w:bottom w:val="single" w:sz="4" w:space="0" w:color="auto"/>
              <w:right w:val="single" w:sz="4" w:space="0" w:color="auto"/>
            </w:tcBorders>
            <w:shd w:val="clear" w:color="auto" w:fill="FAFAFA"/>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Highest</w:t>
            </w:r>
          </w:p>
        </w:tc>
        <w:tc>
          <w:tcPr>
            <w:tcW w:w="1602" w:type="dxa"/>
            <w:tcBorders>
              <w:top w:val="single" w:sz="4" w:space="0" w:color="auto"/>
              <w:left w:val="single" w:sz="4" w:space="0" w:color="auto"/>
              <w:bottom w:val="single" w:sz="4" w:space="0" w:color="auto"/>
              <w:right w:val="single" w:sz="4" w:space="0" w:color="auto"/>
            </w:tcBorders>
            <w:shd w:val="clear" w:color="auto" w:fill="FAFAFA"/>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Lowest</w:t>
            </w:r>
          </w:p>
        </w:tc>
        <w:tc>
          <w:tcPr>
            <w:tcW w:w="1113" w:type="dxa"/>
            <w:tcBorders>
              <w:top w:val="single" w:sz="4" w:space="0" w:color="auto"/>
              <w:left w:val="single" w:sz="4" w:space="0" w:color="auto"/>
              <w:bottom w:val="single" w:sz="4" w:space="0" w:color="auto"/>
              <w:right w:val="single" w:sz="4" w:space="0" w:color="auto"/>
            </w:tcBorders>
            <w:shd w:val="clear" w:color="auto" w:fill="FAFAFA"/>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Unit</w:t>
            </w:r>
          </w:p>
        </w:tc>
        <w:tc>
          <w:tcPr>
            <w:tcW w:w="617" w:type="dxa"/>
            <w:tcBorders>
              <w:top w:val="single" w:sz="4" w:space="0" w:color="auto"/>
              <w:left w:val="single" w:sz="4" w:space="0" w:color="auto"/>
              <w:bottom w:val="single" w:sz="4" w:space="0" w:color="auto"/>
              <w:right w:val="single" w:sz="4" w:space="0" w:color="auto"/>
            </w:tcBorders>
            <w:shd w:val="clear" w:color="auto" w:fill="FAFAFA"/>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p>
        </w:tc>
      </w:tr>
      <w:tr w:rsidR="004379E3" w:rsidRPr="009663D3" w:rsidTr="009663D3">
        <w:trPr>
          <w:trHeight w:val="318"/>
        </w:trPr>
        <w:tc>
          <w:tcPr>
            <w:tcW w:w="1981" w:type="dxa"/>
            <w:tcBorders>
              <w:top w:val="single" w:sz="4" w:space="0" w:color="auto"/>
              <w:left w:val="single" w:sz="4" w:space="0" w:color="auto"/>
              <w:bottom w:val="single" w:sz="4" w:space="0" w:color="auto"/>
              <w:right w:val="single" w:sz="4" w:space="0" w:color="auto"/>
            </w:tcBorders>
            <w:shd w:val="clear" w:color="auto" w:fill="auto"/>
            <w:tcMar>
              <w:top w:w="136" w:type="dxa"/>
              <w:left w:w="169"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58" w:history="1">
              <w:r w:rsidR="004379E3" w:rsidRPr="009663D3">
                <w:rPr>
                  <w:rFonts w:ascii="Times New Roman" w:hAnsi="Times New Roman" w:cs="Times New Roman"/>
                  <w:sz w:val="28"/>
                  <w:szCs w:val="28"/>
                </w:rPr>
                <w:t>Government Debt to GDP</w:t>
              </w:r>
            </w:hyperlink>
          </w:p>
        </w:tc>
        <w:tc>
          <w:tcPr>
            <w:tcW w:w="1165"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17.70</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16.30</w:t>
            </w:r>
          </w:p>
        </w:tc>
        <w:tc>
          <w:tcPr>
            <w:tcW w:w="174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99.00</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6.50</w:t>
            </w:r>
          </w:p>
        </w:tc>
        <w:tc>
          <w:tcPr>
            <w:tcW w:w="1113"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percent</w:t>
            </w:r>
          </w:p>
        </w:tc>
        <w:tc>
          <w:tcPr>
            <w:tcW w:w="617"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59" w:tgtFrame="_blank" w:history="1">
              <w:r w:rsidR="004379E3" w:rsidRPr="009663D3">
                <w:rPr>
                  <w:rFonts w:ascii="Times New Roman" w:hAnsi="Times New Roman" w:cs="Times New Roman"/>
                  <w:sz w:val="28"/>
                  <w:szCs w:val="28"/>
                </w:rPr>
                <w:t>[+]</w:t>
              </w:r>
            </w:hyperlink>
          </w:p>
        </w:tc>
      </w:tr>
      <w:tr w:rsidR="004379E3" w:rsidRPr="009663D3" w:rsidTr="009663D3">
        <w:trPr>
          <w:trHeight w:val="485"/>
        </w:trPr>
        <w:tc>
          <w:tcPr>
            <w:tcW w:w="1981" w:type="dxa"/>
            <w:tcBorders>
              <w:top w:val="single" w:sz="4" w:space="0" w:color="auto"/>
              <w:left w:val="single" w:sz="4" w:space="0" w:color="auto"/>
              <w:bottom w:val="single" w:sz="4" w:space="0" w:color="auto"/>
              <w:right w:val="single" w:sz="4" w:space="0" w:color="auto"/>
            </w:tcBorders>
            <w:shd w:val="clear" w:color="auto" w:fill="auto"/>
            <w:tcMar>
              <w:top w:w="136" w:type="dxa"/>
              <w:left w:w="169"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60" w:history="1">
              <w:r w:rsidR="004379E3" w:rsidRPr="009663D3">
                <w:rPr>
                  <w:rFonts w:ascii="Times New Roman" w:hAnsi="Times New Roman" w:cs="Times New Roman"/>
                  <w:sz w:val="28"/>
                  <w:szCs w:val="28"/>
                </w:rPr>
                <w:t>Government Budget</w:t>
              </w:r>
            </w:hyperlink>
          </w:p>
        </w:tc>
        <w:tc>
          <w:tcPr>
            <w:tcW w:w="1165"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-2.60</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-0.50</w:t>
            </w:r>
          </w:p>
        </w:tc>
        <w:tc>
          <w:tcPr>
            <w:tcW w:w="174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9.88</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-7.90</w:t>
            </w:r>
          </w:p>
        </w:tc>
        <w:tc>
          <w:tcPr>
            <w:tcW w:w="1113"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percent of GDP</w:t>
            </w:r>
          </w:p>
        </w:tc>
        <w:tc>
          <w:tcPr>
            <w:tcW w:w="617"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61" w:tgtFrame="_blank" w:history="1">
              <w:r w:rsidR="004379E3" w:rsidRPr="009663D3">
                <w:rPr>
                  <w:rFonts w:ascii="Times New Roman" w:hAnsi="Times New Roman" w:cs="Times New Roman"/>
                  <w:sz w:val="28"/>
                  <w:szCs w:val="28"/>
                </w:rPr>
                <w:t>[+]</w:t>
              </w:r>
            </w:hyperlink>
          </w:p>
        </w:tc>
      </w:tr>
      <w:tr w:rsidR="004379E3" w:rsidRPr="009663D3" w:rsidTr="009663D3">
        <w:tc>
          <w:tcPr>
            <w:tcW w:w="1981" w:type="dxa"/>
            <w:tcBorders>
              <w:top w:val="single" w:sz="4" w:space="0" w:color="auto"/>
              <w:left w:val="single" w:sz="4" w:space="0" w:color="auto"/>
              <w:bottom w:val="single" w:sz="4" w:space="0" w:color="auto"/>
              <w:right w:val="single" w:sz="4" w:space="0" w:color="auto"/>
            </w:tcBorders>
            <w:shd w:val="clear" w:color="auto" w:fill="auto"/>
            <w:tcMar>
              <w:top w:w="136" w:type="dxa"/>
              <w:left w:w="169"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62" w:history="1">
              <w:r w:rsidR="004379E3" w:rsidRPr="009663D3">
                <w:rPr>
                  <w:rFonts w:ascii="Times New Roman" w:hAnsi="Times New Roman" w:cs="Times New Roman"/>
                  <w:sz w:val="28"/>
                  <w:szCs w:val="28"/>
                </w:rPr>
                <w:t>Government Budget Value</w:t>
              </w:r>
            </w:hyperlink>
          </w:p>
        </w:tc>
        <w:tc>
          <w:tcPr>
            <w:tcW w:w="1165"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-147.81</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295924.80</w:t>
            </w:r>
          </w:p>
        </w:tc>
        <w:tc>
          <w:tcPr>
            <w:tcW w:w="174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3834598.30</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-3142046.80</w:t>
            </w:r>
          </w:p>
        </w:tc>
        <w:tc>
          <w:tcPr>
            <w:tcW w:w="1113"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RUB Million</w:t>
            </w:r>
          </w:p>
        </w:tc>
        <w:tc>
          <w:tcPr>
            <w:tcW w:w="617"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63" w:tgtFrame="_blank" w:history="1">
              <w:r w:rsidR="004379E3" w:rsidRPr="009663D3">
                <w:rPr>
                  <w:rFonts w:ascii="Times New Roman" w:hAnsi="Times New Roman" w:cs="Times New Roman"/>
                  <w:sz w:val="28"/>
                  <w:szCs w:val="28"/>
                </w:rPr>
                <w:t>[+]</w:t>
              </w:r>
            </w:hyperlink>
          </w:p>
        </w:tc>
      </w:tr>
      <w:tr w:rsidR="004379E3" w:rsidRPr="009663D3" w:rsidTr="009663D3">
        <w:tc>
          <w:tcPr>
            <w:tcW w:w="1981" w:type="dxa"/>
            <w:tcBorders>
              <w:top w:val="single" w:sz="4" w:space="0" w:color="auto"/>
              <w:left w:val="single" w:sz="4" w:space="0" w:color="auto"/>
              <w:bottom w:val="single" w:sz="4" w:space="0" w:color="auto"/>
              <w:right w:val="single" w:sz="4" w:space="0" w:color="auto"/>
            </w:tcBorders>
            <w:shd w:val="clear" w:color="auto" w:fill="auto"/>
            <w:tcMar>
              <w:top w:w="136" w:type="dxa"/>
              <w:left w:w="169"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64" w:history="1">
              <w:r w:rsidR="004379E3" w:rsidRPr="009663D3">
                <w:rPr>
                  <w:rFonts w:ascii="Times New Roman" w:hAnsi="Times New Roman" w:cs="Times New Roman"/>
                  <w:sz w:val="28"/>
                  <w:szCs w:val="28"/>
                </w:rPr>
                <w:t>Government Spending</w:t>
              </w:r>
            </w:hyperlink>
          </w:p>
        </w:tc>
        <w:tc>
          <w:tcPr>
            <w:tcW w:w="1165"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2686.80</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2658.20</w:t>
            </w:r>
          </w:p>
        </w:tc>
        <w:tc>
          <w:tcPr>
            <w:tcW w:w="174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2849.60</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1628.70</w:t>
            </w:r>
          </w:p>
        </w:tc>
        <w:tc>
          <w:tcPr>
            <w:tcW w:w="1113"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RUB Billion</w:t>
            </w:r>
          </w:p>
        </w:tc>
        <w:tc>
          <w:tcPr>
            <w:tcW w:w="617"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65" w:tgtFrame="_blank" w:history="1">
              <w:r w:rsidR="004379E3" w:rsidRPr="009663D3">
                <w:rPr>
                  <w:rFonts w:ascii="Times New Roman" w:hAnsi="Times New Roman" w:cs="Times New Roman"/>
                  <w:sz w:val="28"/>
                  <w:szCs w:val="28"/>
                </w:rPr>
                <w:t>[+]</w:t>
              </w:r>
            </w:hyperlink>
          </w:p>
        </w:tc>
      </w:tr>
      <w:tr w:rsidR="004379E3" w:rsidRPr="009663D3" w:rsidTr="009663D3">
        <w:tc>
          <w:tcPr>
            <w:tcW w:w="1981" w:type="dxa"/>
            <w:tcBorders>
              <w:top w:val="single" w:sz="4" w:space="0" w:color="auto"/>
              <w:left w:val="single" w:sz="4" w:space="0" w:color="auto"/>
              <w:bottom w:val="single" w:sz="4" w:space="0" w:color="auto"/>
              <w:right w:val="single" w:sz="4" w:space="0" w:color="auto"/>
            </w:tcBorders>
            <w:shd w:val="clear" w:color="auto" w:fill="auto"/>
            <w:tcMar>
              <w:top w:w="136" w:type="dxa"/>
              <w:left w:w="169"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66" w:history="1">
              <w:r w:rsidR="004379E3" w:rsidRPr="009663D3">
                <w:rPr>
                  <w:rFonts w:ascii="Times New Roman" w:hAnsi="Times New Roman" w:cs="Times New Roman"/>
                  <w:sz w:val="28"/>
                  <w:szCs w:val="28"/>
                </w:rPr>
                <w:t>Government Revenues</w:t>
              </w:r>
            </w:hyperlink>
          </w:p>
        </w:tc>
        <w:tc>
          <w:tcPr>
            <w:tcW w:w="1165"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3951076.70</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1978849.20</w:t>
            </w:r>
          </w:p>
        </w:tc>
        <w:tc>
          <w:tcPr>
            <w:tcW w:w="174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27746716.10</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35000.00</w:t>
            </w:r>
          </w:p>
        </w:tc>
        <w:tc>
          <w:tcPr>
            <w:tcW w:w="1113"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RUB Million</w:t>
            </w:r>
          </w:p>
        </w:tc>
        <w:tc>
          <w:tcPr>
            <w:tcW w:w="617"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67" w:tgtFrame="_blank" w:history="1">
              <w:r w:rsidR="004379E3" w:rsidRPr="009663D3">
                <w:rPr>
                  <w:rFonts w:ascii="Times New Roman" w:hAnsi="Times New Roman" w:cs="Times New Roman"/>
                  <w:sz w:val="28"/>
                  <w:szCs w:val="28"/>
                </w:rPr>
                <w:t>[+]</w:t>
              </w:r>
            </w:hyperlink>
          </w:p>
        </w:tc>
      </w:tr>
      <w:tr w:rsidR="004379E3" w:rsidRPr="009663D3" w:rsidTr="009663D3">
        <w:tc>
          <w:tcPr>
            <w:tcW w:w="1981" w:type="dxa"/>
            <w:tcBorders>
              <w:top w:val="single" w:sz="4" w:space="0" w:color="auto"/>
              <w:left w:val="single" w:sz="4" w:space="0" w:color="auto"/>
              <w:bottom w:val="single" w:sz="4" w:space="0" w:color="auto"/>
              <w:right w:val="single" w:sz="4" w:space="0" w:color="auto"/>
            </w:tcBorders>
            <w:shd w:val="clear" w:color="auto" w:fill="auto"/>
            <w:tcMar>
              <w:top w:w="136" w:type="dxa"/>
              <w:left w:w="169"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68" w:history="1">
              <w:r w:rsidR="004379E3" w:rsidRPr="009663D3">
                <w:rPr>
                  <w:rFonts w:ascii="Times New Roman" w:hAnsi="Times New Roman" w:cs="Times New Roman"/>
                  <w:sz w:val="28"/>
                  <w:szCs w:val="28"/>
                </w:rPr>
                <w:t>Government Debt</w:t>
              </w:r>
            </w:hyperlink>
          </w:p>
        </w:tc>
        <w:tc>
          <w:tcPr>
            <w:tcW w:w="1165"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11109.80</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10634.70</w:t>
            </w:r>
          </w:p>
        </w:tc>
        <w:tc>
          <w:tcPr>
            <w:tcW w:w="174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11109.80</w:t>
            </w:r>
          </w:p>
        </w:tc>
        <w:tc>
          <w:tcPr>
            <w:tcW w:w="1602"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2454.90</w:t>
            </w:r>
          </w:p>
        </w:tc>
        <w:tc>
          <w:tcPr>
            <w:tcW w:w="1113"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RUB Billion</w:t>
            </w:r>
          </w:p>
        </w:tc>
        <w:tc>
          <w:tcPr>
            <w:tcW w:w="617" w:type="dxa"/>
            <w:tcBorders>
              <w:top w:val="single" w:sz="4" w:space="0" w:color="auto"/>
              <w:left w:val="single" w:sz="4" w:space="0" w:color="auto"/>
              <w:bottom w:val="single" w:sz="4" w:space="0" w:color="auto"/>
              <w:right w:val="single" w:sz="4" w:space="0" w:color="auto"/>
            </w:tcBorders>
            <w:shd w:val="clear" w:color="auto" w:fill="auto"/>
            <w:tcMar>
              <w:top w:w="136" w:type="dxa"/>
              <w:left w:w="136"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69" w:tgtFrame="_blank" w:history="1">
              <w:r w:rsidR="004379E3" w:rsidRPr="009663D3">
                <w:rPr>
                  <w:rFonts w:ascii="Times New Roman" w:hAnsi="Times New Roman" w:cs="Times New Roman"/>
                  <w:sz w:val="28"/>
                  <w:szCs w:val="28"/>
                </w:rPr>
                <w:t>[+]</w:t>
              </w:r>
            </w:hyperlink>
          </w:p>
        </w:tc>
      </w:tr>
      <w:tr w:rsidR="004379E3" w:rsidRPr="009663D3" w:rsidTr="009663D3">
        <w:tc>
          <w:tcPr>
            <w:tcW w:w="1981" w:type="dxa"/>
            <w:tcBorders>
              <w:top w:val="single" w:sz="4" w:space="0" w:color="auto"/>
            </w:tcBorders>
            <w:shd w:val="clear" w:color="auto" w:fill="auto"/>
            <w:tcMar>
              <w:top w:w="136" w:type="dxa"/>
              <w:left w:w="169"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70" w:history="1">
              <w:r w:rsidR="004379E3" w:rsidRPr="009663D3">
                <w:rPr>
                  <w:rFonts w:ascii="Times New Roman" w:hAnsi="Times New Roman" w:cs="Times New Roman"/>
                  <w:sz w:val="28"/>
                  <w:szCs w:val="28"/>
                </w:rPr>
                <w:t>Fiscal Expenditure</w:t>
              </w:r>
            </w:hyperlink>
          </w:p>
        </w:tc>
        <w:tc>
          <w:tcPr>
            <w:tcW w:w="1165" w:type="dxa"/>
            <w:tcBorders>
              <w:top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3928214.60</w:t>
            </w:r>
          </w:p>
        </w:tc>
        <w:tc>
          <w:tcPr>
            <w:tcW w:w="1602" w:type="dxa"/>
            <w:tcBorders>
              <w:top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1682924.40</w:t>
            </w:r>
          </w:p>
        </w:tc>
        <w:tc>
          <w:tcPr>
            <w:tcW w:w="1742" w:type="dxa"/>
            <w:tcBorders>
              <w:top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30888762.90</w:t>
            </w:r>
          </w:p>
        </w:tc>
        <w:tc>
          <w:tcPr>
            <w:tcW w:w="1602" w:type="dxa"/>
            <w:tcBorders>
              <w:top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44800.00</w:t>
            </w:r>
          </w:p>
        </w:tc>
        <w:tc>
          <w:tcPr>
            <w:tcW w:w="1113" w:type="dxa"/>
            <w:tcBorders>
              <w:top w:val="single" w:sz="4" w:space="0" w:color="auto"/>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RUB Million</w:t>
            </w:r>
          </w:p>
        </w:tc>
        <w:tc>
          <w:tcPr>
            <w:tcW w:w="617" w:type="dxa"/>
            <w:tcBorders>
              <w:top w:val="single" w:sz="4" w:space="0" w:color="auto"/>
            </w:tcBorders>
            <w:shd w:val="clear" w:color="auto" w:fill="auto"/>
            <w:tcMar>
              <w:top w:w="136" w:type="dxa"/>
              <w:left w:w="136"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71" w:tgtFrame="_blank" w:history="1">
              <w:r w:rsidR="004379E3" w:rsidRPr="009663D3">
                <w:rPr>
                  <w:rFonts w:ascii="Times New Roman" w:hAnsi="Times New Roman" w:cs="Times New Roman"/>
                  <w:sz w:val="28"/>
                  <w:szCs w:val="28"/>
                </w:rPr>
                <w:t>[+]</w:t>
              </w:r>
            </w:hyperlink>
          </w:p>
        </w:tc>
      </w:tr>
      <w:tr w:rsidR="004379E3" w:rsidRPr="009663D3" w:rsidTr="009663D3">
        <w:tc>
          <w:tcPr>
            <w:tcW w:w="1981" w:type="dxa"/>
            <w:tcBorders>
              <w:top w:val="single" w:sz="6" w:space="0" w:color="E7E7EF"/>
            </w:tcBorders>
            <w:shd w:val="clear" w:color="auto" w:fill="F5F5F5"/>
            <w:tcMar>
              <w:top w:w="136" w:type="dxa"/>
              <w:left w:w="169"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72" w:history="1">
              <w:r w:rsidR="004379E3" w:rsidRPr="009663D3">
                <w:rPr>
                  <w:rFonts w:ascii="Times New Roman" w:hAnsi="Times New Roman" w:cs="Times New Roman"/>
                  <w:sz w:val="28"/>
                  <w:szCs w:val="28"/>
                </w:rPr>
                <w:t>Military Expenditure</w:t>
              </w:r>
            </w:hyperlink>
          </w:p>
        </w:tc>
        <w:tc>
          <w:tcPr>
            <w:tcW w:w="1165" w:type="dxa"/>
            <w:tcBorders>
              <w:top w:val="single" w:sz="6" w:space="0" w:color="E7E7EF"/>
            </w:tcBorders>
            <w:shd w:val="clear" w:color="auto" w:fill="F5F5F5"/>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91080.90</w:t>
            </w:r>
          </w:p>
        </w:tc>
        <w:tc>
          <w:tcPr>
            <w:tcW w:w="1602" w:type="dxa"/>
            <w:tcBorders>
              <w:top w:val="single" w:sz="6" w:space="0" w:color="E7E7EF"/>
            </w:tcBorders>
            <w:shd w:val="clear" w:color="auto" w:fill="F5F5F5"/>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84696.50</w:t>
            </w:r>
          </w:p>
        </w:tc>
        <w:tc>
          <w:tcPr>
            <w:tcW w:w="1742" w:type="dxa"/>
            <w:tcBorders>
              <w:top w:val="single" w:sz="6" w:space="0" w:color="E7E7EF"/>
            </w:tcBorders>
            <w:shd w:val="clear" w:color="auto" w:fill="F5F5F5"/>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91080.90</w:t>
            </w:r>
          </w:p>
        </w:tc>
        <w:tc>
          <w:tcPr>
            <w:tcW w:w="1602" w:type="dxa"/>
            <w:tcBorders>
              <w:top w:val="single" w:sz="6" w:space="0" w:color="E7E7EF"/>
            </w:tcBorders>
            <w:shd w:val="clear" w:color="auto" w:fill="F5F5F5"/>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19242.80</w:t>
            </w:r>
          </w:p>
        </w:tc>
        <w:tc>
          <w:tcPr>
            <w:tcW w:w="1113" w:type="dxa"/>
            <w:tcBorders>
              <w:top w:val="single" w:sz="6" w:space="0" w:color="E7E7EF"/>
            </w:tcBorders>
            <w:shd w:val="clear" w:color="auto" w:fill="F5F5F5"/>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USD Million</w:t>
            </w:r>
          </w:p>
        </w:tc>
        <w:tc>
          <w:tcPr>
            <w:tcW w:w="617" w:type="dxa"/>
            <w:tcBorders>
              <w:top w:val="single" w:sz="6" w:space="0" w:color="E7E7EF"/>
            </w:tcBorders>
            <w:shd w:val="clear" w:color="auto" w:fill="F5F5F5"/>
            <w:tcMar>
              <w:top w:w="136" w:type="dxa"/>
              <w:left w:w="136"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73" w:tgtFrame="_blank" w:history="1">
              <w:r w:rsidR="004379E3" w:rsidRPr="009663D3">
                <w:rPr>
                  <w:rFonts w:ascii="Times New Roman" w:hAnsi="Times New Roman" w:cs="Times New Roman"/>
                  <w:sz w:val="28"/>
                  <w:szCs w:val="28"/>
                </w:rPr>
                <w:t>[+]</w:t>
              </w:r>
            </w:hyperlink>
          </w:p>
        </w:tc>
      </w:tr>
      <w:tr w:rsidR="004379E3" w:rsidRPr="009663D3" w:rsidTr="009663D3">
        <w:tc>
          <w:tcPr>
            <w:tcW w:w="1981" w:type="dxa"/>
            <w:tcBorders>
              <w:top w:val="single" w:sz="6" w:space="0" w:color="E7E7EF"/>
            </w:tcBorders>
            <w:shd w:val="clear" w:color="auto" w:fill="auto"/>
            <w:tcMar>
              <w:top w:w="136" w:type="dxa"/>
              <w:left w:w="169"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74" w:history="1">
              <w:r w:rsidR="004379E3" w:rsidRPr="009663D3">
                <w:rPr>
                  <w:rFonts w:ascii="Times New Roman" w:hAnsi="Times New Roman" w:cs="Times New Roman"/>
                  <w:sz w:val="28"/>
                  <w:szCs w:val="28"/>
                </w:rPr>
                <w:t>Credit Rating</w:t>
              </w:r>
            </w:hyperlink>
          </w:p>
        </w:tc>
        <w:tc>
          <w:tcPr>
            <w:tcW w:w="1165" w:type="dxa"/>
            <w:tcBorders>
              <w:top w:val="single" w:sz="6" w:space="0" w:color="E7E7EF"/>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r w:rsidRPr="009663D3">
              <w:rPr>
                <w:rFonts w:ascii="Times New Roman" w:hAnsi="Times New Roman" w:cs="Times New Roman"/>
                <w:sz w:val="28"/>
                <w:szCs w:val="28"/>
              </w:rPr>
              <w:t>43.26</w:t>
            </w:r>
          </w:p>
        </w:tc>
        <w:tc>
          <w:tcPr>
            <w:tcW w:w="1602" w:type="dxa"/>
            <w:tcBorders>
              <w:top w:val="single" w:sz="6" w:space="0" w:color="E7E7EF"/>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p>
        </w:tc>
        <w:tc>
          <w:tcPr>
            <w:tcW w:w="1742" w:type="dxa"/>
            <w:tcBorders>
              <w:top w:val="single" w:sz="6" w:space="0" w:color="E7E7EF"/>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p>
        </w:tc>
        <w:tc>
          <w:tcPr>
            <w:tcW w:w="1602" w:type="dxa"/>
            <w:tcBorders>
              <w:top w:val="single" w:sz="6" w:space="0" w:color="E7E7EF"/>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p>
        </w:tc>
        <w:tc>
          <w:tcPr>
            <w:tcW w:w="1113" w:type="dxa"/>
            <w:tcBorders>
              <w:top w:val="single" w:sz="6" w:space="0" w:color="E7E7EF"/>
            </w:tcBorders>
            <w:shd w:val="clear" w:color="auto" w:fill="auto"/>
            <w:tcMar>
              <w:top w:w="136" w:type="dxa"/>
              <w:left w:w="136" w:type="dxa"/>
              <w:bottom w:w="136" w:type="dxa"/>
              <w:right w:w="136" w:type="dxa"/>
            </w:tcMar>
            <w:hideMark/>
          </w:tcPr>
          <w:p w:rsidR="004379E3" w:rsidRPr="009663D3" w:rsidRDefault="004379E3" w:rsidP="00C40532">
            <w:pPr>
              <w:spacing w:after="0" w:line="240" w:lineRule="auto"/>
              <w:jc w:val="both"/>
              <w:rPr>
                <w:rFonts w:ascii="Times New Roman" w:hAnsi="Times New Roman" w:cs="Times New Roman"/>
                <w:sz w:val="28"/>
                <w:szCs w:val="28"/>
              </w:rPr>
            </w:pPr>
          </w:p>
        </w:tc>
        <w:tc>
          <w:tcPr>
            <w:tcW w:w="617" w:type="dxa"/>
            <w:tcBorders>
              <w:top w:val="single" w:sz="6" w:space="0" w:color="E7E7EF"/>
            </w:tcBorders>
            <w:shd w:val="clear" w:color="auto" w:fill="auto"/>
            <w:tcMar>
              <w:top w:w="136" w:type="dxa"/>
              <w:left w:w="136" w:type="dxa"/>
              <w:bottom w:w="136" w:type="dxa"/>
              <w:right w:w="136" w:type="dxa"/>
            </w:tcMar>
            <w:hideMark/>
          </w:tcPr>
          <w:p w:rsidR="004379E3" w:rsidRPr="009663D3" w:rsidRDefault="00CD577A" w:rsidP="00C40532">
            <w:pPr>
              <w:spacing w:after="0" w:line="240" w:lineRule="auto"/>
              <w:jc w:val="both"/>
              <w:rPr>
                <w:rFonts w:ascii="Times New Roman" w:hAnsi="Times New Roman" w:cs="Times New Roman"/>
                <w:sz w:val="28"/>
                <w:szCs w:val="28"/>
              </w:rPr>
            </w:pPr>
            <w:hyperlink r:id="rId475" w:tgtFrame="_blank" w:history="1">
              <w:r w:rsidR="004379E3" w:rsidRPr="009663D3">
                <w:rPr>
                  <w:rFonts w:ascii="Times New Roman" w:hAnsi="Times New Roman" w:cs="Times New Roman"/>
                  <w:sz w:val="28"/>
                  <w:szCs w:val="28"/>
                </w:rPr>
                <w:t>[+]</w:t>
              </w:r>
            </w:hyperlink>
          </w:p>
        </w:tc>
      </w:tr>
    </w:tbl>
    <w:p w:rsidR="004379E3" w:rsidRPr="0068182D" w:rsidRDefault="004379E3" w:rsidP="00C40532">
      <w:pPr>
        <w:spacing w:after="0" w:line="240" w:lineRule="auto"/>
        <w:ind w:firstLine="567"/>
        <w:jc w:val="both"/>
        <w:rPr>
          <w:rFonts w:ascii="Times New Roman" w:hAnsi="Times New Roman" w:cs="Times New Roman"/>
          <w:sz w:val="28"/>
          <w:szCs w:val="28"/>
        </w:rPr>
      </w:pPr>
    </w:p>
    <w:p w:rsidR="004379E3" w:rsidRPr="0068182D" w:rsidRDefault="004379E3" w:rsidP="00C40532">
      <w:pPr>
        <w:spacing w:after="0" w:line="240" w:lineRule="auto"/>
        <w:ind w:firstLine="567"/>
        <w:jc w:val="both"/>
        <w:rPr>
          <w:rFonts w:ascii="Times New Roman" w:hAnsi="Times New Roman" w:cs="Times New Roman"/>
          <w:sz w:val="28"/>
          <w:szCs w:val="28"/>
        </w:rPr>
      </w:pPr>
    </w:p>
    <w:p w:rsidR="004379E3" w:rsidRPr="0068182D" w:rsidRDefault="004379E3" w:rsidP="009663D3">
      <w:pPr>
        <w:pStyle w:val="2"/>
        <w:shd w:val="clear" w:color="auto" w:fill="FFFFFF"/>
        <w:spacing w:before="0" w:beforeAutospacing="0" w:after="0" w:afterAutospacing="0"/>
        <w:ind w:firstLine="567"/>
        <w:jc w:val="both"/>
        <w:rPr>
          <w:b w:val="0"/>
          <w:bCs w:val="0"/>
          <w:color w:val="000000"/>
          <w:sz w:val="28"/>
          <w:szCs w:val="28"/>
          <w:lang w:val="en-US"/>
        </w:rPr>
      </w:pPr>
      <w:r w:rsidRPr="0068182D">
        <w:rPr>
          <w:b w:val="0"/>
          <w:bCs w:val="0"/>
          <w:color w:val="000000"/>
          <w:sz w:val="28"/>
          <w:szCs w:val="28"/>
          <w:lang w:val="en-US"/>
        </w:rPr>
        <w:t>Government Revenues in Russia increased to 3951076.70 RUB Million in February from 1978849.20 RUB Million in January of 2017. Government Revenues in Russia averaged 6611635.61 RUB Million from 1998 until 2017, reaching an all time high of 27746716.10 RUB Million in December of 2016 and a record low of 35000 RUB Million in January of 1998.</w:t>
      </w:r>
    </w:p>
    <w:p w:rsidR="004379E3" w:rsidRPr="0068182D" w:rsidRDefault="004379E3" w:rsidP="00C40532">
      <w:pPr>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noProof/>
          <w:sz w:val="28"/>
          <w:szCs w:val="28"/>
        </w:rPr>
        <w:drawing>
          <wp:inline distT="0" distB="0" distL="0" distR="0">
            <wp:extent cx="6120765" cy="2851771"/>
            <wp:effectExtent l="19050" t="0" r="0" b="0"/>
            <wp:docPr id="12" name="Рисунок 8" descr="Russia Government Reven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ussia Government Revenues"/>
                    <pic:cNvPicPr>
                      <a:picLocks noChangeAspect="1" noChangeArrowheads="1"/>
                    </pic:cNvPicPr>
                  </pic:nvPicPr>
                  <pic:blipFill>
                    <a:blip r:embed="rId476"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p w:rsidR="004379E3" w:rsidRPr="0068182D" w:rsidRDefault="004379E3" w:rsidP="00C40532">
      <w:pPr>
        <w:spacing w:after="0" w:line="240" w:lineRule="auto"/>
        <w:jc w:val="both"/>
        <w:rPr>
          <w:rFonts w:ascii="Times New Roman" w:hAnsi="Times New Roman" w:cs="Times New Roman"/>
          <w:sz w:val="28"/>
          <w:szCs w:val="28"/>
          <w:lang w:val="en-US"/>
        </w:rPr>
      </w:pPr>
    </w:p>
    <w:p w:rsidR="004379E3" w:rsidRPr="0068182D" w:rsidRDefault="004379E3" w:rsidP="00C40532">
      <w:pPr>
        <w:spacing w:after="0" w:line="240" w:lineRule="auto"/>
        <w:jc w:val="both"/>
        <w:rPr>
          <w:rFonts w:ascii="Times New Roman" w:hAnsi="Times New Roman" w:cs="Times New Roman"/>
          <w:sz w:val="28"/>
          <w:szCs w:val="28"/>
          <w:lang w:val="en-US"/>
        </w:rPr>
      </w:pPr>
    </w:p>
    <w:p w:rsidR="004379E3" w:rsidRPr="0068182D" w:rsidRDefault="004379E3" w:rsidP="00C40532">
      <w:pPr>
        <w:pStyle w:val="2"/>
        <w:shd w:val="clear" w:color="auto" w:fill="FFFFFF"/>
        <w:spacing w:before="0" w:beforeAutospacing="0" w:after="0" w:afterAutospacing="0"/>
        <w:jc w:val="both"/>
        <w:rPr>
          <w:b w:val="0"/>
          <w:bCs w:val="0"/>
          <w:color w:val="000000"/>
          <w:sz w:val="28"/>
          <w:szCs w:val="28"/>
          <w:lang w:val="en-US"/>
        </w:rPr>
      </w:pPr>
      <w:r w:rsidRPr="0068182D">
        <w:rPr>
          <w:sz w:val="28"/>
          <w:szCs w:val="28"/>
          <w:lang w:val="en-US"/>
        </w:rPr>
        <w:tab/>
      </w:r>
      <w:r w:rsidRPr="0068182D">
        <w:rPr>
          <w:b w:val="0"/>
          <w:bCs w:val="0"/>
          <w:color w:val="000000"/>
          <w:sz w:val="28"/>
          <w:szCs w:val="28"/>
          <w:lang w:val="en-US"/>
        </w:rPr>
        <w:t>Government Spending in Russia increased to 2686.80 RUB Billion in the fourth quarter of 2016 from 2658.20 RUB Billion in the third quarter of 2016. Government Spending in Russia averaged 2172.96 RUB Billion from 2003 until 2016, reaching an all time high of 2849.60 RUB Billion in the fourth quarter of 2013 and a record low of 1628.70 RUB Billion in the first quarter of 2003.</w:t>
      </w:r>
    </w:p>
    <w:p w:rsidR="004379E3" w:rsidRPr="0068182D" w:rsidRDefault="004379E3" w:rsidP="00C40532">
      <w:pPr>
        <w:tabs>
          <w:tab w:val="left" w:pos="1254"/>
        </w:tabs>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6120765" cy="2851771"/>
            <wp:effectExtent l="19050" t="0" r="0" b="0"/>
            <wp:docPr id="14" name="Рисунок 11" descr="Russia Government Spe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ussia Government Spending"/>
                    <pic:cNvPicPr>
                      <a:picLocks noChangeAspect="1" noChangeArrowheads="1"/>
                    </pic:cNvPicPr>
                  </pic:nvPicPr>
                  <pic:blipFill>
                    <a:blip r:embed="rId477"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p w:rsidR="004379E3" w:rsidRPr="0068182D" w:rsidRDefault="004379E3" w:rsidP="00C40532">
      <w:pPr>
        <w:tabs>
          <w:tab w:val="left" w:pos="1254"/>
        </w:tabs>
        <w:spacing w:after="0" w:line="240" w:lineRule="auto"/>
        <w:jc w:val="both"/>
        <w:rPr>
          <w:rFonts w:ascii="Times New Roman" w:hAnsi="Times New Roman" w:cs="Times New Roman"/>
          <w:sz w:val="28"/>
          <w:szCs w:val="28"/>
        </w:rPr>
      </w:pPr>
    </w:p>
    <w:p w:rsidR="004379E3" w:rsidRPr="0068182D" w:rsidRDefault="004379E3" w:rsidP="009663D3">
      <w:pPr>
        <w:pStyle w:val="2"/>
        <w:shd w:val="clear" w:color="auto" w:fill="FFFFFF"/>
        <w:spacing w:before="0" w:beforeAutospacing="0" w:after="0" w:afterAutospacing="0"/>
        <w:ind w:firstLine="567"/>
        <w:jc w:val="both"/>
        <w:rPr>
          <w:b w:val="0"/>
          <w:bCs w:val="0"/>
          <w:color w:val="000000"/>
          <w:sz w:val="28"/>
          <w:szCs w:val="28"/>
          <w:lang w:val="en-US"/>
        </w:rPr>
      </w:pPr>
      <w:r w:rsidRPr="0068182D">
        <w:rPr>
          <w:b w:val="0"/>
          <w:bCs w:val="0"/>
          <w:color w:val="000000"/>
          <w:sz w:val="28"/>
          <w:szCs w:val="28"/>
          <w:lang w:val="en-US"/>
        </w:rPr>
        <w:t>Military Expenditure in Russia increased to 91080.90 USD Million in 2015 from 84696.50 USD Million in 2014. Military Expenditure in Russia averaged 48891.53 USD Million from 1992 until 2015, reaching an all time high of 91080.90 USD Million in 2015 and a record low of 19242.80 USD Million in 1998.</w:t>
      </w:r>
    </w:p>
    <w:p w:rsidR="004379E3" w:rsidRPr="0068182D" w:rsidRDefault="004379E3" w:rsidP="00C40532">
      <w:pPr>
        <w:tabs>
          <w:tab w:val="left" w:pos="1254"/>
        </w:tabs>
        <w:spacing w:after="0" w:line="240" w:lineRule="auto"/>
        <w:jc w:val="both"/>
        <w:rPr>
          <w:rFonts w:ascii="Times New Roman" w:hAnsi="Times New Roman" w:cs="Times New Roman"/>
          <w:sz w:val="28"/>
          <w:szCs w:val="28"/>
          <w:lang w:val="en-US"/>
        </w:rPr>
      </w:pPr>
    </w:p>
    <w:p w:rsidR="004379E3" w:rsidRPr="0068182D" w:rsidRDefault="004379E3" w:rsidP="00C40532">
      <w:pPr>
        <w:tabs>
          <w:tab w:val="left" w:pos="1254"/>
        </w:tabs>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6120765" cy="2851771"/>
            <wp:effectExtent l="19050" t="0" r="0" b="0"/>
            <wp:docPr id="15" name="Рисунок 14" descr="Russia Military Expendi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ussia Military Expenditure"/>
                    <pic:cNvPicPr>
                      <a:picLocks noChangeAspect="1" noChangeArrowheads="1"/>
                    </pic:cNvPicPr>
                  </pic:nvPicPr>
                  <pic:blipFill>
                    <a:blip r:embed="rId478"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p w:rsidR="004379E3" w:rsidRPr="0068182D" w:rsidRDefault="004379E3" w:rsidP="00C40532">
      <w:pPr>
        <w:tabs>
          <w:tab w:val="left" w:pos="1254"/>
        </w:tabs>
        <w:spacing w:after="0" w:line="240" w:lineRule="auto"/>
        <w:jc w:val="both"/>
        <w:rPr>
          <w:rFonts w:ascii="Times New Roman" w:hAnsi="Times New Roman" w:cs="Times New Roman"/>
          <w:sz w:val="28"/>
          <w:szCs w:val="28"/>
        </w:rPr>
      </w:pPr>
    </w:p>
    <w:p w:rsidR="004379E3" w:rsidRPr="0068182D" w:rsidRDefault="004379E3" w:rsidP="00C40532">
      <w:pPr>
        <w:pStyle w:val="2"/>
        <w:shd w:val="clear" w:color="auto" w:fill="FFFFFF"/>
        <w:spacing w:before="0" w:beforeAutospacing="0" w:after="0" w:afterAutospacing="0"/>
        <w:jc w:val="both"/>
        <w:rPr>
          <w:b w:val="0"/>
          <w:bCs w:val="0"/>
          <w:color w:val="000000"/>
          <w:sz w:val="28"/>
          <w:szCs w:val="28"/>
          <w:lang w:val="en-US"/>
        </w:rPr>
      </w:pPr>
      <w:r w:rsidRPr="0068182D">
        <w:rPr>
          <w:b w:val="0"/>
          <w:bCs w:val="0"/>
          <w:color w:val="000000"/>
          <w:sz w:val="28"/>
          <w:szCs w:val="28"/>
          <w:lang w:val="en-US"/>
        </w:rPr>
        <w:t>Government Debt in Russia increased to 11109.80 RUB Billion in the fourth quarter of 2016 from 10634.70 RUB Billion in the third quarter of 2016. Government Debt in Russia averaged 6450.85 RUB Billion from 2008 until 2016, reaching an all time high of 11109.80 RUB Billion in the fourth quarter of 2016 and a record low of 2454.90 RUB Billion in the third quarter of 2008.</w:t>
      </w:r>
    </w:p>
    <w:p w:rsidR="004379E3" w:rsidRPr="0068182D" w:rsidRDefault="004379E3" w:rsidP="00C40532">
      <w:pPr>
        <w:tabs>
          <w:tab w:val="left" w:pos="1254"/>
        </w:tabs>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6120765" cy="2851771"/>
            <wp:effectExtent l="19050" t="0" r="0" b="0"/>
            <wp:docPr id="17" name="Рисунок 17" descr="Russia Government De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ussia Government Debt"/>
                    <pic:cNvPicPr>
                      <a:picLocks noChangeAspect="1" noChangeArrowheads="1"/>
                    </pic:cNvPicPr>
                  </pic:nvPicPr>
                  <pic:blipFill>
                    <a:blip r:embed="rId479"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p w:rsidR="004379E3" w:rsidRPr="0068182D" w:rsidRDefault="004379E3" w:rsidP="00C40532">
      <w:pPr>
        <w:tabs>
          <w:tab w:val="left" w:pos="1254"/>
        </w:tabs>
        <w:spacing w:after="0" w:line="240" w:lineRule="auto"/>
        <w:jc w:val="both"/>
        <w:rPr>
          <w:rFonts w:ascii="Times New Roman" w:hAnsi="Times New Roman" w:cs="Times New Roman"/>
          <w:sz w:val="28"/>
          <w:szCs w:val="28"/>
        </w:rPr>
      </w:pPr>
    </w:p>
    <w:p w:rsidR="004379E3" w:rsidRPr="0068182D" w:rsidRDefault="004379E3" w:rsidP="00C40532">
      <w:pPr>
        <w:tabs>
          <w:tab w:val="left" w:pos="1254"/>
        </w:tabs>
        <w:spacing w:after="0" w:line="240" w:lineRule="auto"/>
        <w:jc w:val="both"/>
        <w:rPr>
          <w:rFonts w:ascii="Times New Roman" w:hAnsi="Times New Roman" w:cs="Times New Roman"/>
          <w:sz w:val="28"/>
          <w:szCs w:val="28"/>
        </w:rPr>
      </w:pPr>
    </w:p>
    <w:p w:rsidR="004379E3" w:rsidRPr="0068182D" w:rsidRDefault="004379E3" w:rsidP="009663D3">
      <w:pPr>
        <w:pStyle w:val="1"/>
        <w:shd w:val="clear" w:color="auto" w:fill="FFFFFF"/>
        <w:spacing w:before="0"/>
        <w:ind w:firstLine="567"/>
        <w:jc w:val="both"/>
        <w:rPr>
          <w:rFonts w:ascii="Times New Roman" w:hAnsi="Times New Roman" w:cs="Times New Roman"/>
          <w:color w:val="auto"/>
          <w:lang w:val="en-US"/>
        </w:rPr>
      </w:pPr>
      <w:r w:rsidRPr="0068182D">
        <w:rPr>
          <w:rFonts w:ascii="Times New Roman" w:hAnsi="Times New Roman" w:cs="Times New Roman"/>
          <w:color w:val="auto"/>
          <w:lang w:val="en-US"/>
        </w:rPr>
        <w:t>National Wealth Fund</w:t>
      </w:r>
    </w:p>
    <w:p w:rsidR="004379E3" w:rsidRPr="0068182D" w:rsidRDefault="004379E3" w:rsidP="009663D3">
      <w:pPr>
        <w:pStyle w:val="1"/>
        <w:shd w:val="clear" w:color="auto" w:fill="FFFFFF"/>
        <w:spacing w:before="0"/>
        <w:ind w:firstLine="567"/>
        <w:jc w:val="both"/>
        <w:rPr>
          <w:rFonts w:ascii="Times New Roman" w:hAnsi="Times New Roman" w:cs="Times New Roman"/>
          <w:color w:val="auto"/>
          <w:lang w:val="en-US"/>
        </w:rPr>
      </w:pPr>
      <w:r w:rsidRPr="0068182D">
        <w:rPr>
          <w:rFonts w:ascii="Times New Roman" w:hAnsi="Times New Roman" w:cs="Times New Roman"/>
          <w:color w:val="auto"/>
          <w:lang w:val="en-US"/>
        </w:rPr>
        <w:t xml:space="preserve"> Mission</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National Wealth Fund (NWF) is a part of federal budget assets. NWF is dedicated to support pension system of the Russian Federation to guarantee long-term sound functioning of the system. Fund’s primer assignments are to co-finance voluntary pension savings of Russian citizens and to balance budget of Pension Fund of the Russian Federation.</w:t>
      </w:r>
    </w:p>
    <w:p w:rsidR="004379E3" w:rsidRPr="0068182D" w:rsidRDefault="004379E3" w:rsidP="009663D3">
      <w:pPr>
        <w:pStyle w:val="1"/>
        <w:shd w:val="clear" w:color="auto" w:fill="FFFFFF"/>
        <w:spacing w:before="0"/>
        <w:ind w:firstLine="567"/>
        <w:jc w:val="both"/>
        <w:rPr>
          <w:rFonts w:ascii="Times New Roman" w:hAnsi="Times New Roman" w:cs="Times New Roman"/>
          <w:color w:val="auto"/>
          <w:lang w:val="en-US"/>
        </w:rPr>
      </w:pPr>
      <w:r w:rsidRPr="0068182D">
        <w:rPr>
          <w:rFonts w:ascii="Times New Roman" w:hAnsi="Times New Roman" w:cs="Times New Roman"/>
          <w:color w:val="auto"/>
          <w:lang w:val="en-US"/>
        </w:rPr>
        <w:t>Accumulation</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b/>
          <w:bCs/>
          <w:sz w:val="28"/>
          <w:szCs w:val="28"/>
          <w:lang w:val="en-US"/>
        </w:rPr>
        <w:t>Oil and gas revenues of the federal budget</w:t>
      </w:r>
      <w:r w:rsidRPr="0068182D">
        <w:rPr>
          <w:rStyle w:val="apple-converted-space"/>
          <w:sz w:val="28"/>
          <w:szCs w:val="28"/>
          <w:lang w:val="en-US"/>
        </w:rPr>
        <w:t> </w:t>
      </w:r>
      <w:r w:rsidRPr="0068182D">
        <w:rPr>
          <w:sz w:val="28"/>
          <w:szCs w:val="28"/>
          <w:lang w:val="en-US"/>
        </w:rPr>
        <w:t>are comprised of the following:</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oil and gas production tax (oil, natural gas, gas condensate);</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export customs duty on crude oil;</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export customs duty on natural gas;</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     export customs duty on oil products.</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Each year part of these revenues is applied as an</w:t>
      </w:r>
      <w:r w:rsidRPr="0068182D">
        <w:rPr>
          <w:rStyle w:val="apple-converted-space"/>
          <w:sz w:val="28"/>
          <w:szCs w:val="28"/>
          <w:lang w:val="en-US"/>
        </w:rPr>
        <w:t> </w:t>
      </w:r>
      <w:r w:rsidRPr="0068182D">
        <w:rPr>
          <w:b/>
          <w:bCs/>
          <w:sz w:val="28"/>
          <w:szCs w:val="28"/>
          <w:lang w:val="en-US"/>
        </w:rPr>
        <w:t>oil and gas</w:t>
      </w:r>
      <w:r w:rsidRPr="0068182D">
        <w:rPr>
          <w:rStyle w:val="apple-converted-space"/>
          <w:sz w:val="28"/>
          <w:szCs w:val="28"/>
          <w:lang w:val="en-US"/>
        </w:rPr>
        <w:t> </w:t>
      </w:r>
      <w:r w:rsidRPr="0068182D">
        <w:rPr>
          <w:b/>
          <w:bCs/>
          <w:sz w:val="28"/>
          <w:szCs w:val="28"/>
          <w:lang w:val="en-US"/>
        </w:rPr>
        <w:t>transfer</w:t>
      </w:r>
      <w:r w:rsidRPr="0068182D">
        <w:rPr>
          <w:rStyle w:val="apple-converted-space"/>
          <w:sz w:val="28"/>
          <w:szCs w:val="28"/>
          <w:lang w:val="en-US"/>
        </w:rPr>
        <w:t> </w:t>
      </w:r>
      <w:r w:rsidRPr="0068182D">
        <w:rPr>
          <w:sz w:val="28"/>
          <w:szCs w:val="28"/>
          <w:lang w:val="en-US"/>
        </w:rPr>
        <w:t>to finance federal budget expenditures. Size of the oil and gas transfer is constituted by federal law on the federal budget for a corresponding fiscal year and planning period in the absolute amount, determined as 3.7% of forecasted GDP in the corresponding year.</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After oil and gas transfer is completely executed remaining oil and gas revenues are accumulated in the</w:t>
      </w:r>
      <w:r w:rsidRPr="0068182D">
        <w:rPr>
          <w:rStyle w:val="apple-converted-space"/>
          <w:sz w:val="28"/>
          <w:szCs w:val="28"/>
          <w:lang w:val="en-US"/>
        </w:rPr>
        <w:t> </w:t>
      </w:r>
      <w:r w:rsidRPr="0068182D">
        <w:rPr>
          <w:b/>
          <w:bCs/>
          <w:sz w:val="28"/>
          <w:szCs w:val="28"/>
          <w:lang w:val="en-US"/>
        </w:rPr>
        <w:t>Reserve Fund</w:t>
      </w:r>
      <w:r w:rsidRPr="0068182D">
        <w:rPr>
          <w:sz w:val="28"/>
          <w:szCs w:val="28"/>
          <w:lang w:val="en-US"/>
        </w:rPr>
        <w:t>.</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Regulatory size of the Reserve Fund is constituted by federal law on federal budget for a corresponding fiscal year and planning period as an amount equal to 10% of forecasted GDP in corresponding year. Whenever the Reserve Fund reaches aforementioned cap then remaining oil and gas revenues are transferred to the</w:t>
      </w:r>
      <w:r w:rsidRPr="0068182D">
        <w:rPr>
          <w:rStyle w:val="apple-converted-space"/>
          <w:sz w:val="28"/>
          <w:szCs w:val="28"/>
          <w:lang w:val="en-US"/>
        </w:rPr>
        <w:t> </w:t>
      </w:r>
      <w:r w:rsidRPr="0068182D">
        <w:rPr>
          <w:b/>
          <w:bCs/>
          <w:sz w:val="28"/>
          <w:szCs w:val="28"/>
          <w:lang w:val="en-US"/>
        </w:rPr>
        <w:t>National Wealth Fund</w:t>
      </w:r>
      <w:r w:rsidRPr="0068182D">
        <w:rPr>
          <w:sz w:val="28"/>
          <w:szCs w:val="28"/>
          <w:lang w:val="en-US"/>
        </w:rPr>
        <w:t>.</w:t>
      </w:r>
    </w:p>
    <w:p w:rsidR="004379E3" w:rsidRPr="009663D3" w:rsidRDefault="004379E3" w:rsidP="009663D3">
      <w:pPr>
        <w:pStyle w:val="a6"/>
        <w:shd w:val="clear" w:color="auto" w:fill="FFFFFF"/>
        <w:spacing w:before="0" w:beforeAutospacing="0" w:after="0" w:afterAutospacing="0"/>
        <w:ind w:firstLine="567"/>
        <w:jc w:val="both"/>
        <w:rPr>
          <w:sz w:val="28"/>
          <w:szCs w:val="28"/>
          <w:lang w:val="en-US"/>
        </w:rPr>
      </w:pPr>
      <w:r w:rsidRPr="0068182D">
        <w:rPr>
          <w:i/>
          <w:iCs/>
          <w:sz w:val="28"/>
          <w:szCs w:val="28"/>
          <w:lang w:val="en-US"/>
        </w:rPr>
        <w:t>Since 1 January 2010 till 1 January 2014 regulatory size of the Reserve Fund will not be constituted, oil and gas revenues of the federal budget will not be used to finance oil and gas transfer and to form the Reserve Fund and National Wealth Fund, but deployed to finance federal budget expenditures.</w:t>
      </w:r>
      <w:r w:rsidRPr="0068182D">
        <w:rPr>
          <w:rStyle w:val="apple-converted-space"/>
          <w:b/>
          <w:bCs/>
          <w:i/>
          <w:iCs/>
          <w:sz w:val="28"/>
          <w:szCs w:val="28"/>
          <w:lang w:val="en-US"/>
        </w:rPr>
        <w:t> </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Other cash proceeds of the National Wealth Fund are returns resulting from its asset management.</w:t>
      </w:r>
    </w:p>
    <w:p w:rsidR="004379E3" w:rsidRPr="009663D3" w:rsidRDefault="004379E3" w:rsidP="009663D3">
      <w:pPr>
        <w:pStyle w:val="a6"/>
        <w:shd w:val="clear" w:color="auto" w:fill="FFFFFF"/>
        <w:spacing w:before="0" w:beforeAutospacing="0" w:after="0" w:afterAutospacing="0"/>
        <w:ind w:firstLine="567"/>
        <w:jc w:val="both"/>
        <w:rPr>
          <w:sz w:val="28"/>
          <w:szCs w:val="28"/>
          <w:lang w:val="en-US"/>
        </w:rPr>
      </w:pPr>
      <w:r w:rsidRPr="0068182D">
        <w:rPr>
          <w:i/>
          <w:iCs/>
          <w:sz w:val="28"/>
          <w:szCs w:val="28"/>
          <w:lang w:val="en-US"/>
        </w:rPr>
        <w:t>Since 1 January 2010 till 1 February 2014 returns resulting from the National Wealth Fund’s asset management will not be reinvested to the Fund but deployed to finance federal budget expenditures.</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Oil and gas revenues of federal budget, the Reserve Fund and the National Wealth Fund are accounted on separate federal budget accounts of Federal Treasury with the Bank of Russia.</w:t>
      </w:r>
    </w:p>
    <w:p w:rsidR="004379E3" w:rsidRPr="009663D3" w:rsidRDefault="004379E3" w:rsidP="009663D3">
      <w:pPr>
        <w:pStyle w:val="a6"/>
        <w:shd w:val="clear" w:color="auto" w:fill="FFFFFF"/>
        <w:spacing w:before="0" w:beforeAutospacing="0" w:after="0" w:afterAutospacing="0"/>
        <w:ind w:firstLine="567"/>
        <w:jc w:val="both"/>
        <w:rPr>
          <w:sz w:val="28"/>
          <w:szCs w:val="28"/>
          <w:lang w:val="en-US"/>
        </w:rPr>
      </w:pPr>
      <w:r w:rsidRPr="0068182D">
        <w:rPr>
          <w:i/>
          <w:iCs/>
          <w:sz w:val="28"/>
          <w:szCs w:val="28"/>
          <w:lang w:val="en-US"/>
        </w:rPr>
        <w:t>Since 1 January 2010 till 1 January 2014 separate account of oil and gas revenues of federal budget will not be carried out.</w:t>
      </w:r>
      <w:r w:rsidRPr="0068182D">
        <w:rPr>
          <w:rStyle w:val="apple-converted-space"/>
          <w:i/>
          <w:iCs/>
          <w:sz w:val="28"/>
          <w:szCs w:val="28"/>
          <w:lang w:val="en-US"/>
        </w:rPr>
        <w:t> </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Ministry of Finance is responsible for accumulation and spending procedures of oil and gas revenues of federal budget, oil and gas transfer, Reserve and National Wealth Funds in accordance with terms and procedure established by the Government of the Russian Federation. </w:t>
      </w:r>
    </w:p>
    <w:p w:rsidR="004379E3" w:rsidRPr="009663D3" w:rsidRDefault="004379E3" w:rsidP="009663D3">
      <w:pPr>
        <w:pStyle w:val="a6"/>
        <w:shd w:val="clear" w:color="auto" w:fill="FFFFFF"/>
        <w:spacing w:before="0" w:beforeAutospacing="0" w:after="0" w:afterAutospacing="0"/>
        <w:ind w:firstLine="567"/>
        <w:jc w:val="both"/>
        <w:rPr>
          <w:sz w:val="28"/>
          <w:szCs w:val="28"/>
          <w:lang w:val="en-US"/>
        </w:rPr>
      </w:pPr>
      <w:r w:rsidRPr="0068182D">
        <w:rPr>
          <w:i/>
          <w:iCs/>
          <w:sz w:val="28"/>
          <w:szCs w:val="28"/>
          <w:lang w:val="en-US"/>
        </w:rPr>
        <w:t>Since 1 January 2010 till 1 February 2014 accumulation and spending procedures of oil and gas revenues of federal budget, oil and gas transfer, Reserve Fund and National Wealth fund are suspended.</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Accounting of oil and gas revenue of the federal budget, assets of the Reserve Fund and National Wealth Fund is realized in the order of accounting the federal budget assets.</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b/>
          <w:bCs/>
          <w:sz w:val="28"/>
          <w:szCs w:val="28"/>
          <w:lang w:val="en-US"/>
        </w:rPr>
        <w:t>NWF assets can be invested in following ways (in one or all of them simultaneously)</w:t>
      </w:r>
      <w:r w:rsidRPr="0068182D">
        <w:rPr>
          <w:sz w:val="28"/>
          <w:szCs w:val="28"/>
          <w:lang w:val="en-US"/>
        </w:rPr>
        <w:t>:</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1) purchase of foreign currencies (US dollars, euro, GB pounds) and allocation to the Federal Treasury’s accounts with the Bank of Russia which pays interest on them according to bank account agreement;</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2)purchase of foreign currencies and financial assets denominated in Russian ruble and eligible foreign currencies (further – eligible financial assets).</w:t>
      </w:r>
    </w:p>
    <w:p w:rsidR="004379E3" w:rsidRPr="0068182D" w:rsidRDefault="004379E3" w:rsidP="009663D3">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Fund assets are invested according to the first alternative (allocation to the Federal Treasury’s accounts with the Bank of Russia) in the following way. According to calculation and transfer procedure of interest payments approved by the Ministry of Finance the Bank of Russia pays interest equivalent to yield of total return indices comprised of financial assets complying with requirements approved by the Government of the Russian Federation.</w:t>
      </w:r>
    </w:p>
    <w:p w:rsidR="004379E3" w:rsidRPr="0068182D" w:rsidRDefault="004379E3" w:rsidP="00C40532">
      <w:pPr>
        <w:pStyle w:val="a6"/>
        <w:shd w:val="clear" w:color="auto" w:fill="FFFFFF"/>
        <w:spacing w:before="0" w:beforeAutospacing="0" w:after="0" w:afterAutospacing="0"/>
        <w:jc w:val="both"/>
        <w:rPr>
          <w:sz w:val="28"/>
          <w:szCs w:val="28"/>
          <w:lang w:val="en-US"/>
        </w:rPr>
      </w:pPr>
      <w:r w:rsidRPr="0068182D">
        <w:rPr>
          <w:sz w:val="28"/>
          <w:szCs w:val="28"/>
          <w:u w:val="single"/>
          <w:lang w:val="en-US"/>
        </w:rPr>
        <w:t>NWF assets can be invested in supranational debt securities of following institutions</w:t>
      </w:r>
      <w:r w:rsidRPr="0068182D">
        <w:rPr>
          <w:sz w:val="28"/>
          <w:szCs w:val="28"/>
          <w:lang w:val="en-US"/>
        </w:rPr>
        <w:t>:</w:t>
      </w:r>
    </w:p>
    <w:p w:rsidR="004379E3" w:rsidRPr="0068182D" w:rsidRDefault="004379E3" w:rsidP="00C40532">
      <w:pPr>
        <w:pStyle w:val="a6"/>
        <w:shd w:val="clear" w:color="auto" w:fill="FFFFFF"/>
        <w:spacing w:before="0" w:beforeAutospacing="0" w:after="0" w:afterAutospacing="0"/>
        <w:jc w:val="both"/>
        <w:rPr>
          <w:sz w:val="28"/>
          <w:szCs w:val="28"/>
          <w:lang w:val="en-US"/>
        </w:rPr>
      </w:pPr>
      <w:r w:rsidRPr="0068182D">
        <w:rPr>
          <w:sz w:val="28"/>
          <w:szCs w:val="28"/>
          <w:lang w:val="en-US"/>
        </w:rPr>
        <w:t>-         Asian Development Bank (ADB);</w:t>
      </w:r>
    </w:p>
    <w:p w:rsidR="004379E3" w:rsidRPr="0068182D" w:rsidRDefault="004379E3" w:rsidP="00C40532">
      <w:pPr>
        <w:pStyle w:val="a6"/>
        <w:shd w:val="clear" w:color="auto" w:fill="FFFFFF"/>
        <w:spacing w:before="0" w:beforeAutospacing="0" w:after="0" w:afterAutospacing="0"/>
        <w:jc w:val="both"/>
        <w:rPr>
          <w:sz w:val="28"/>
          <w:szCs w:val="28"/>
          <w:lang w:val="en-US"/>
        </w:rPr>
      </w:pPr>
      <w:r w:rsidRPr="0068182D">
        <w:rPr>
          <w:sz w:val="28"/>
          <w:szCs w:val="28"/>
          <w:lang w:val="en-US"/>
        </w:rPr>
        <w:t>-         Council of Europe Development Bank (CEB);</w:t>
      </w:r>
    </w:p>
    <w:p w:rsidR="004379E3" w:rsidRPr="0068182D" w:rsidRDefault="004379E3" w:rsidP="00C40532">
      <w:pPr>
        <w:pStyle w:val="a6"/>
        <w:shd w:val="clear" w:color="auto" w:fill="FFFFFF"/>
        <w:spacing w:before="0" w:beforeAutospacing="0" w:after="0" w:afterAutospacing="0"/>
        <w:jc w:val="both"/>
        <w:rPr>
          <w:sz w:val="28"/>
          <w:szCs w:val="28"/>
          <w:lang w:val="en-US"/>
        </w:rPr>
      </w:pPr>
      <w:r w:rsidRPr="0068182D">
        <w:rPr>
          <w:sz w:val="28"/>
          <w:szCs w:val="28"/>
          <w:lang w:val="en-US"/>
        </w:rPr>
        <w:t>-         European Bank for Reconstruction and Development (EBRD);</w:t>
      </w:r>
    </w:p>
    <w:p w:rsidR="004379E3" w:rsidRPr="0068182D" w:rsidRDefault="004379E3" w:rsidP="00C40532">
      <w:pPr>
        <w:pStyle w:val="a6"/>
        <w:shd w:val="clear" w:color="auto" w:fill="FFFFFF"/>
        <w:spacing w:before="0" w:beforeAutospacing="0" w:after="0" w:afterAutospacing="0"/>
        <w:jc w:val="both"/>
        <w:rPr>
          <w:sz w:val="28"/>
          <w:szCs w:val="28"/>
          <w:lang w:val="en-US"/>
        </w:rPr>
      </w:pPr>
      <w:r w:rsidRPr="0068182D">
        <w:rPr>
          <w:sz w:val="28"/>
          <w:szCs w:val="28"/>
          <w:lang w:val="en-US"/>
        </w:rPr>
        <w:t>-         European Investment Bank (EIB);</w:t>
      </w:r>
    </w:p>
    <w:p w:rsidR="004379E3" w:rsidRPr="0068182D" w:rsidRDefault="004379E3" w:rsidP="00C40532">
      <w:pPr>
        <w:pStyle w:val="a6"/>
        <w:shd w:val="clear" w:color="auto" w:fill="FFFFFF"/>
        <w:spacing w:before="0" w:beforeAutospacing="0" w:after="0" w:afterAutospacing="0"/>
        <w:jc w:val="both"/>
        <w:rPr>
          <w:sz w:val="28"/>
          <w:szCs w:val="28"/>
          <w:lang w:val="en-US"/>
        </w:rPr>
      </w:pPr>
      <w:r w:rsidRPr="0068182D">
        <w:rPr>
          <w:sz w:val="28"/>
          <w:szCs w:val="28"/>
          <w:lang w:val="en-US"/>
        </w:rPr>
        <w:t>-         Inter-American Development Bank (IADB);</w:t>
      </w:r>
    </w:p>
    <w:p w:rsidR="004379E3" w:rsidRPr="0068182D" w:rsidRDefault="004379E3" w:rsidP="00C40532">
      <w:pPr>
        <w:pStyle w:val="a6"/>
        <w:shd w:val="clear" w:color="auto" w:fill="FFFFFF"/>
        <w:spacing w:before="0" w:beforeAutospacing="0" w:after="0" w:afterAutospacing="0"/>
        <w:jc w:val="both"/>
        <w:rPr>
          <w:sz w:val="28"/>
          <w:szCs w:val="28"/>
          <w:lang w:val="en-US"/>
        </w:rPr>
      </w:pPr>
      <w:r w:rsidRPr="0068182D">
        <w:rPr>
          <w:sz w:val="28"/>
          <w:szCs w:val="28"/>
          <w:lang w:val="en-US"/>
        </w:rPr>
        <w:t>-         International Bank for Reconstruction and Development (IBRD);</w:t>
      </w:r>
    </w:p>
    <w:p w:rsidR="004379E3" w:rsidRPr="0068182D" w:rsidRDefault="004379E3" w:rsidP="00C40532">
      <w:pPr>
        <w:pStyle w:val="a6"/>
        <w:shd w:val="clear" w:color="auto" w:fill="FFFFFF"/>
        <w:spacing w:before="0" w:beforeAutospacing="0" w:after="0" w:afterAutospacing="0"/>
        <w:jc w:val="both"/>
        <w:rPr>
          <w:sz w:val="28"/>
          <w:szCs w:val="28"/>
          <w:lang w:val="en-US"/>
        </w:rPr>
      </w:pPr>
      <w:r w:rsidRPr="0068182D">
        <w:rPr>
          <w:sz w:val="28"/>
          <w:szCs w:val="28"/>
          <w:lang w:val="en-US"/>
        </w:rPr>
        <w:t>-         International Finance Corporation (IFC);</w:t>
      </w:r>
    </w:p>
    <w:p w:rsidR="004379E3" w:rsidRPr="0068182D" w:rsidRDefault="004379E3" w:rsidP="00C40532">
      <w:pPr>
        <w:pStyle w:val="a6"/>
        <w:shd w:val="clear" w:color="auto" w:fill="FFFFFF"/>
        <w:spacing w:before="0" w:beforeAutospacing="0" w:after="0" w:afterAutospacing="0"/>
        <w:jc w:val="both"/>
        <w:rPr>
          <w:sz w:val="28"/>
          <w:szCs w:val="28"/>
          <w:lang w:val="en-US"/>
        </w:rPr>
      </w:pPr>
      <w:r w:rsidRPr="0068182D">
        <w:rPr>
          <w:sz w:val="28"/>
          <w:szCs w:val="28"/>
          <w:lang w:val="en-US"/>
        </w:rPr>
        <w:t>-         Nordic Investment Bank (NIB).</w:t>
      </w:r>
    </w:p>
    <w:p w:rsidR="004379E3" w:rsidRPr="0068182D" w:rsidRDefault="004379E3" w:rsidP="00C40532">
      <w:pPr>
        <w:pStyle w:val="3"/>
        <w:shd w:val="clear" w:color="auto" w:fill="FFFFFF"/>
        <w:spacing w:before="0" w:line="240" w:lineRule="auto"/>
        <w:jc w:val="both"/>
        <w:rPr>
          <w:rFonts w:ascii="Times New Roman" w:hAnsi="Times New Roman" w:cs="Times New Roman"/>
          <w:color w:val="auto"/>
          <w:sz w:val="28"/>
          <w:szCs w:val="28"/>
          <w:lang w:val="en-US"/>
        </w:rPr>
      </w:pPr>
      <w:r w:rsidRPr="0068182D">
        <w:rPr>
          <w:rFonts w:ascii="Times New Roman" w:hAnsi="Times New Roman" w:cs="Times New Roman"/>
          <w:color w:val="auto"/>
          <w:sz w:val="28"/>
          <w:szCs w:val="28"/>
          <w:lang w:val="en-US"/>
        </w:rPr>
        <w:t>Volume of the National Wealth Fund</w:t>
      </w:r>
    </w:p>
    <w:p w:rsidR="004379E3" w:rsidRPr="0068182D" w:rsidRDefault="004379E3" w:rsidP="00C40532">
      <w:pPr>
        <w:pStyle w:val="a6"/>
        <w:shd w:val="clear" w:color="auto" w:fill="FFFFFF"/>
        <w:spacing w:before="0" w:beforeAutospacing="0" w:after="0" w:afterAutospacing="0"/>
        <w:jc w:val="both"/>
        <w:rPr>
          <w:color w:val="4D4D48"/>
          <w:sz w:val="28"/>
          <w:szCs w:val="28"/>
          <w:lang w:val="en-US"/>
        </w:rPr>
      </w:pPr>
      <w:r w:rsidRPr="0068182D">
        <w:rPr>
          <w:color w:val="4D4D48"/>
          <w:sz w:val="28"/>
          <w:szCs w:val="28"/>
          <w:lang w:val="en-US"/>
        </w:rPr>
        <w:t> </w:t>
      </w:r>
    </w:p>
    <w:tbl>
      <w:tblPr>
        <w:tblW w:w="9271" w:type="dxa"/>
        <w:jc w:val="center"/>
        <w:tblBorders>
          <w:bottom w:val="single" w:sz="12" w:space="0" w:color="DDDEDF"/>
        </w:tblBorders>
        <w:shd w:val="clear" w:color="auto" w:fill="FFFFFF"/>
        <w:tblCellMar>
          <w:left w:w="0" w:type="dxa"/>
          <w:right w:w="0" w:type="dxa"/>
        </w:tblCellMar>
        <w:tblLook w:val="04A0"/>
      </w:tblPr>
      <w:tblGrid>
        <w:gridCol w:w="1598"/>
        <w:gridCol w:w="2561"/>
        <w:gridCol w:w="2330"/>
        <w:gridCol w:w="2782"/>
      </w:tblGrid>
      <w:tr w:rsidR="004379E3" w:rsidRPr="0068182D" w:rsidTr="001608BE">
        <w:trPr>
          <w:jc w:val="center"/>
        </w:trPr>
        <w:tc>
          <w:tcPr>
            <w:tcW w:w="1555" w:type="dxa"/>
            <w:tcBorders>
              <w:top w:val="outset" w:sz="2" w:space="0" w:color="auto"/>
              <w:left w:val="outset" w:sz="2" w:space="0" w:color="auto"/>
              <w:bottom w:val="outset" w:sz="2" w:space="0" w:color="auto"/>
              <w:right w:val="single" w:sz="24" w:space="0" w:color="FFFFFF"/>
            </w:tcBorders>
            <w:shd w:val="clear" w:color="auto" w:fill="82AF7A"/>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FCFCFC"/>
                <w:sz w:val="28"/>
                <w:szCs w:val="28"/>
              </w:rPr>
            </w:pPr>
            <w:r w:rsidRPr="0068182D">
              <w:rPr>
                <w:rStyle w:val="a3"/>
                <w:color w:val="FCFCFC"/>
                <w:sz w:val="28"/>
                <w:szCs w:val="28"/>
              </w:rPr>
              <w:t>Date</w:t>
            </w:r>
          </w:p>
        </w:tc>
        <w:tc>
          <w:tcPr>
            <w:tcW w:w="2578" w:type="dxa"/>
            <w:tcBorders>
              <w:top w:val="outset" w:sz="2" w:space="0" w:color="auto"/>
              <w:left w:val="outset" w:sz="2" w:space="0" w:color="auto"/>
              <w:bottom w:val="outset" w:sz="2" w:space="0" w:color="auto"/>
              <w:right w:val="single" w:sz="24" w:space="0" w:color="FFFFFF"/>
            </w:tcBorders>
            <w:shd w:val="clear" w:color="auto" w:fill="82AF7A"/>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FCFCFC"/>
                <w:sz w:val="28"/>
                <w:szCs w:val="28"/>
              </w:rPr>
            </w:pPr>
            <w:r w:rsidRPr="0068182D">
              <w:rPr>
                <w:rStyle w:val="a3"/>
                <w:color w:val="FCFCFC"/>
                <w:sz w:val="28"/>
                <w:szCs w:val="28"/>
              </w:rPr>
              <w:t>in Billion US dollars</w:t>
            </w:r>
          </w:p>
        </w:tc>
        <w:tc>
          <w:tcPr>
            <w:tcW w:w="2344" w:type="dxa"/>
            <w:tcBorders>
              <w:top w:val="outset" w:sz="2" w:space="0" w:color="auto"/>
              <w:left w:val="outset" w:sz="2" w:space="0" w:color="auto"/>
              <w:bottom w:val="outset" w:sz="2" w:space="0" w:color="auto"/>
              <w:right w:val="single" w:sz="24" w:space="0" w:color="FFFFFF"/>
            </w:tcBorders>
            <w:shd w:val="clear" w:color="auto" w:fill="82AF7A"/>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FCFCFC"/>
                <w:sz w:val="28"/>
                <w:szCs w:val="28"/>
              </w:rPr>
            </w:pPr>
            <w:r w:rsidRPr="0068182D">
              <w:rPr>
                <w:rStyle w:val="a3"/>
                <w:color w:val="FCFCFC"/>
                <w:sz w:val="28"/>
                <w:szCs w:val="28"/>
              </w:rPr>
              <w:t>in Billion rubles</w:t>
            </w:r>
          </w:p>
        </w:tc>
        <w:tc>
          <w:tcPr>
            <w:tcW w:w="2794" w:type="dxa"/>
            <w:tcBorders>
              <w:top w:val="outset" w:sz="2" w:space="0" w:color="auto"/>
              <w:left w:val="outset" w:sz="2" w:space="0" w:color="auto"/>
              <w:bottom w:val="outset" w:sz="2" w:space="0" w:color="auto"/>
              <w:right w:val="single" w:sz="24" w:space="0" w:color="FFFFFF"/>
            </w:tcBorders>
            <w:shd w:val="clear" w:color="auto" w:fill="82AF7A"/>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FCFCFC"/>
                <w:sz w:val="28"/>
                <w:szCs w:val="28"/>
              </w:rPr>
            </w:pPr>
            <w:r w:rsidRPr="0068182D">
              <w:rPr>
                <w:rStyle w:val="a3"/>
                <w:color w:val="FCFCFC"/>
                <w:sz w:val="28"/>
                <w:szCs w:val="28"/>
              </w:rPr>
              <w:t>as Percentages of GDP*</w:t>
            </w:r>
          </w:p>
        </w:tc>
      </w:tr>
      <w:tr w:rsidR="004379E3" w:rsidRPr="0068182D" w:rsidTr="001608BE">
        <w:trPr>
          <w:jc w:val="center"/>
        </w:trPr>
        <w:tc>
          <w:tcPr>
            <w:tcW w:w="155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01.03.2017</w:t>
            </w:r>
          </w:p>
        </w:tc>
        <w:tc>
          <w:tcPr>
            <w:tcW w:w="2578"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72,60</w:t>
            </w:r>
          </w:p>
        </w:tc>
        <w:tc>
          <w:tcPr>
            <w:tcW w:w="2344"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4 206,38</w:t>
            </w:r>
          </w:p>
        </w:tc>
        <w:tc>
          <w:tcPr>
            <w:tcW w:w="2794"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4,8%</w:t>
            </w:r>
          </w:p>
        </w:tc>
      </w:tr>
      <w:tr w:rsidR="004379E3" w:rsidRPr="0068182D" w:rsidTr="001608BE">
        <w:trPr>
          <w:jc w:val="center"/>
        </w:trPr>
        <w:tc>
          <w:tcPr>
            <w:tcW w:w="155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01.02.2017</w:t>
            </w:r>
          </w:p>
        </w:tc>
        <w:tc>
          <w:tcPr>
            <w:tcW w:w="2578"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72,46</w:t>
            </w:r>
          </w:p>
        </w:tc>
        <w:tc>
          <w:tcPr>
            <w:tcW w:w="2344"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4 359,30</w:t>
            </w:r>
          </w:p>
        </w:tc>
        <w:tc>
          <w:tcPr>
            <w:tcW w:w="2794"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5,0%</w:t>
            </w:r>
          </w:p>
        </w:tc>
      </w:tr>
      <w:tr w:rsidR="004379E3" w:rsidRPr="0068182D" w:rsidTr="001608BE">
        <w:trPr>
          <w:jc w:val="center"/>
        </w:trPr>
        <w:tc>
          <w:tcPr>
            <w:tcW w:w="155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01.01.2017</w:t>
            </w:r>
          </w:p>
        </w:tc>
        <w:tc>
          <w:tcPr>
            <w:tcW w:w="2578"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71,87</w:t>
            </w:r>
          </w:p>
        </w:tc>
        <w:tc>
          <w:tcPr>
            <w:tcW w:w="2344"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4 359,16</w:t>
            </w:r>
          </w:p>
        </w:tc>
        <w:tc>
          <w:tcPr>
            <w:tcW w:w="2794"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5,0%</w:t>
            </w:r>
          </w:p>
        </w:tc>
      </w:tr>
      <w:tr w:rsidR="004379E3" w:rsidRPr="0068182D" w:rsidTr="001608BE">
        <w:trPr>
          <w:jc w:val="center"/>
        </w:trPr>
        <w:tc>
          <w:tcPr>
            <w:tcW w:w="155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01.12.2016</w:t>
            </w:r>
          </w:p>
        </w:tc>
        <w:tc>
          <w:tcPr>
            <w:tcW w:w="2578"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71,26</w:t>
            </w:r>
          </w:p>
        </w:tc>
        <w:tc>
          <w:tcPr>
            <w:tcW w:w="2344"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4 628,09</w:t>
            </w:r>
          </w:p>
        </w:tc>
        <w:tc>
          <w:tcPr>
            <w:tcW w:w="2794"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68182D" w:rsidRDefault="004379E3" w:rsidP="00C40532">
            <w:pPr>
              <w:pStyle w:val="a6"/>
              <w:spacing w:before="0" w:beforeAutospacing="0" w:after="0" w:afterAutospacing="0"/>
              <w:jc w:val="both"/>
              <w:rPr>
                <w:color w:val="4D4D48"/>
                <w:sz w:val="28"/>
                <w:szCs w:val="28"/>
              </w:rPr>
            </w:pPr>
            <w:r w:rsidRPr="0068182D">
              <w:rPr>
                <w:color w:val="4D4D48"/>
                <w:sz w:val="28"/>
                <w:szCs w:val="28"/>
              </w:rPr>
              <w:t>5,4%</w:t>
            </w:r>
          </w:p>
        </w:tc>
      </w:tr>
    </w:tbl>
    <w:p w:rsidR="004379E3" w:rsidRPr="0068182D" w:rsidRDefault="004379E3" w:rsidP="00C40532">
      <w:pPr>
        <w:spacing w:after="0" w:line="240" w:lineRule="auto"/>
        <w:jc w:val="both"/>
        <w:rPr>
          <w:rFonts w:ascii="Times New Roman" w:hAnsi="Times New Roman" w:cs="Times New Roman"/>
          <w:sz w:val="28"/>
          <w:szCs w:val="28"/>
        </w:rPr>
      </w:pPr>
    </w:p>
    <w:p w:rsidR="004379E3" w:rsidRPr="0068182D" w:rsidRDefault="004379E3" w:rsidP="00C40532">
      <w:pPr>
        <w:spacing w:after="0" w:line="240" w:lineRule="auto"/>
        <w:jc w:val="both"/>
        <w:rPr>
          <w:rFonts w:ascii="Times New Roman" w:hAnsi="Times New Roman" w:cs="Times New Roman"/>
          <w:sz w:val="28"/>
          <w:szCs w:val="28"/>
        </w:rPr>
      </w:pPr>
    </w:p>
    <w:p w:rsidR="004379E3" w:rsidRPr="0068182D" w:rsidRDefault="004379E3" w:rsidP="00C40532">
      <w:pPr>
        <w:shd w:val="clear" w:color="auto" w:fill="FFFFFF"/>
        <w:spacing w:after="0" w:line="240" w:lineRule="auto"/>
        <w:jc w:val="both"/>
        <w:rPr>
          <w:rStyle w:val="hps"/>
          <w:rFonts w:ascii="Times New Roman" w:hAnsi="Times New Roman" w:cs="Times New Roman"/>
          <w:b/>
          <w:sz w:val="28"/>
          <w:szCs w:val="28"/>
          <w:lang w:val="en-US"/>
        </w:rPr>
      </w:pPr>
      <w:r w:rsidRPr="0068182D">
        <w:rPr>
          <w:rFonts w:ascii="Times New Roman" w:hAnsi="Times New Roman" w:cs="Times New Roman"/>
          <w:b/>
          <w:sz w:val="28"/>
          <w:szCs w:val="28"/>
          <w:lang w:val="en-US"/>
        </w:rPr>
        <w:tab/>
      </w:r>
      <w:r w:rsidRPr="0068182D">
        <w:rPr>
          <w:rStyle w:val="hps"/>
          <w:rFonts w:ascii="Times New Roman" w:hAnsi="Times New Roman" w:cs="Times New Roman"/>
          <w:b/>
          <w:sz w:val="28"/>
          <w:szCs w:val="28"/>
          <w:lang w:val="en-US"/>
        </w:rPr>
        <w:t>3.</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Extra-budgetary funds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their role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Public credit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public debt</w:t>
      </w:r>
      <w:r w:rsidRPr="0068182D">
        <w:rPr>
          <w:rFonts w:ascii="Times New Roman" w:hAnsi="Times New Roman" w:cs="Times New Roman"/>
          <w:b/>
          <w:sz w:val="28"/>
          <w:szCs w:val="28"/>
          <w:lang w:val="en-US"/>
        </w:rPr>
        <w:t>.</w:t>
      </w:r>
      <w:r w:rsidRPr="0068182D">
        <w:rPr>
          <w:rStyle w:val="hps"/>
          <w:rFonts w:ascii="Times New Roman" w:hAnsi="Times New Roman" w:cs="Times New Roman"/>
          <w:b/>
          <w:sz w:val="28"/>
          <w:szCs w:val="28"/>
          <w:lang w:val="en-US"/>
        </w:rPr>
        <w:t xml:space="preserve"> </w:t>
      </w:r>
    </w:p>
    <w:p w:rsidR="004379E3" w:rsidRPr="0068182D" w:rsidRDefault="004379E3" w:rsidP="00C40532">
      <w:pPr>
        <w:tabs>
          <w:tab w:val="left" w:pos="898"/>
        </w:tabs>
        <w:spacing w:after="0" w:line="240" w:lineRule="auto"/>
        <w:jc w:val="both"/>
        <w:rPr>
          <w:rFonts w:ascii="Times New Roman" w:hAnsi="Times New Roman" w:cs="Times New Roman"/>
          <w:sz w:val="28"/>
          <w:szCs w:val="28"/>
          <w:lang w:val="en-US"/>
        </w:rPr>
      </w:pPr>
    </w:p>
    <w:p w:rsidR="004379E3" w:rsidRPr="009663D3" w:rsidRDefault="004379E3" w:rsidP="009663D3">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The Russian extra-budgetary funds are designated for implementation of constitutional rights of the Russian citizens for</w:t>
      </w:r>
      <w:r w:rsidRPr="009663D3">
        <w:rPr>
          <w:rStyle w:val="apple-converted-space"/>
          <w:sz w:val="28"/>
          <w:szCs w:val="28"/>
          <w:lang w:val="en-US"/>
        </w:rPr>
        <w:t> </w:t>
      </w:r>
      <w:r w:rsidRPr="009663D3">
        <w:rPr>
          <w:b/>
          <w:bCs/>
          <w:sz w:val="28"/>
          <w:szCs w:val="28"/>
          <w:lang w:val="en-US"/>
        </w:rPr>
        <w:t>pensions’ provision</w:t>
      </w:r>
      <w:r w:rsidRPr="009663D3">
        <w:rPr>
          <w:sz w:val="28"/>
          <w:szCs w:val="28"/>
          <w:lang w:val="en-US"/>
        </w:rPr>
        <w:t>,</w:t>
      </w:r>
      <w:r w:rsidRPr="009663D3">
        <w:rPr>
          <w:rStyle w:val="apple-converted-space"/>
          <w:sz w:val="28"/>
          <w:szCs w:val="28"/>
          <w:lang w:val="en-US"/>
        </w:rPr>
        <w:t> </w:t>
      </w:r>
      <w:r w:rsidRPr="009663D3">
        <w:rPr>
          <w:b/>
          <w:bCs/>
          <w:sz w:val="28"/>
          <w:szCs w:val="28"/>
          <w:lang w:val="en-US"/>
        </w:rPr>
        <w:t>social security</w:t>
      </w:r>
      <w:r w:rsidRPr="009663D3">
        <w:rPr>
          <w:rStyle w:val="apple-converted-space"/>
          <w:b/>
          <w:bCs/>
          <w:sz w:val="28"/>
          <w:szCs w:val="28"/>
          <w:lang w:val="en-US"/>
        </w:rPr>
        <w:t> </w:t>
      </w:r>
      <w:r w:rsidRPr="009663D3">
        <w:rPr>
          <w:sz w:val="28"/>
          <w:szCs w:val="28"/>
          <w:lang w:val="en-US"/>
        </w:rPr>
        <w:t>and</w:t>
      </w:r>
      <w:r w:rsidRPr="009663D3">
        <w:rPr>
          <w:rStyle w:val="apple-converted-space"/>
          <w:sz w:val="28"/>
          <w:szCs w:val="28"/>
          <w:lang w:val="en-US"/>
        </w:rPr>
        <w:t> </w:t>
      </w:r>
      <w:r w:rsidRPr="009663D3">
        <w:rPr>
          <w:b/>
          <w:bCs/>
          <w:sz w:val="28"/>
          <w:szCs w:val="28"/>
          <w:lang w:val="en-US"/>
        </w:rPr>
        <w:t>healthcare services</w:t>
      </w:r>
      <w:r w:rsidRPr="009663D3">
        <w:rPr>
          <w:sz w:val="28"/>
          <w:szCs w:val="28"/>
          <w:lang w:val="en-US"/>
        </w:rPr>
        <w:t>.</w:t>
      </w:r>
    </w:p>
    <w:p w:rsidR="004379E3" w:rsidRPr="009663D3" w:rsidRDefault="004379E3" w:rsidP="009663D3">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The</w:t>
      </w:r>
      <w:r w:rsidRPr="009663D3">
        <w:rPr>
          <w:rStyle w:val="apple-converted-space"/>
          <w:sz w:val="28"/>
          <w:szCs w:val="28"/>
          <w:lang w:val="en-US"/>
        </w:rPr>
        <w:t> </w:t>
      </w:r>
      <w:r w:rsidRPr="009663D3">
        <w:rPr>
          <w:b/>
          <w:bCs/>
          <w:sz w:val="28"/>
          <w:szCs w:val="28"/>
          <w:lang w:val="en-US"/>
        </w:rPr>
        <w:t>list of the Russian extra-budgetary funds</w:t>
      </w:r>
      <w:r w:rsidRPr="009663D3">
        <w:rPr>
          <w:rStyle w:val="apple-converted-space"/>
          <w:b/>
          <w:bCs/>
          <w:sz w:val="28"/>
          <w:szCs w:val="28"/>
          <w:lang w:val="en-US"/>
        </w:rPr>
        <w:t> </w:t>
      </w:r>
      <w:r w:rsidRPr="009663D3">
        <w:rPr>
          <w:sz w:val="28"/>
          <w:szCs w:val="28"/>
          <w:lang w:val="en-US"/>
        </w:rPr>
        <w:t>is specified in Article 144 of the Russian Budgetary Code</w:t>
      </w:r>
      <w:hyperlink r:id="rId480" w:anchor="31" w:tooltip="Source: ConsultantPlus Date: 31.7.1998" w:history="1">
        <w:r w:rsidRPr="009663D3">
          <w:rPr>
            <w:rStyle w:val="a5"/>
            <w:color w:val="auto"/>
            <w:sz w:val="28"/>
            <w:szCs w:val="28"/>
            <w:vertAlign w:val="superscript"/>
            <w:lang w:val="en-US"/>
          </w:rPr>
          <w:t>[31]</w:t>
        </w:r>
      </w:hyperlink>
      <w:r w:rsidRPr="009663D3">
        <w:rPr>
          <w:rStyle w:val="apple-converted-space"/>
          <w:sz w:val="28"/>
          <w:szCs w:val="28"/>
          <w:lang w:val="en-US"/>
        </w:rPr>
        <w:t> </w:t>
      </w:r>
      <w:r w:rsidRPr="009663D3">
        <w:rPr>
          <w:sz w:val="28"/>
          <w:szCs w:val="28"/>
          <w:lang w:val="en-US"/>
        </w:rPr>
        <w:t>and comprises the following funds:</w:t>
      </w:r>
    </w:p>
    <w:p w:rsidR="004379E3" w:rsidRPr="009663D3" w:rsidRDefault="004379E3" w:rsidP="009663D3">
      <w:pPr>
        <w:numPr>
          <w:ilvl w:val="0"/>
          <w:numId w:val="21"/>
        </w:numPr>
        <w:shd w:val="clear" w:color="auto" w:fill="FFFFFF"/>
        <w:tabs>
          <w:tab w:val="left" w:pos="993"/>
        </w:tabs>
        <w:spacing w:after="0" w:line="240" w:lineRule="auto"/>
        <w:ind w:hanging="11"/>
        <w:jc w:val="both"/>
        <w:rPr>
          <w:rFonts w:ascii="Times New Roman" w:hAnsi="Times New Roman" w:cs="Times New Roman"/>
          <w:sz w:val="28"/>
          <w:szCs w:val="28"/>
          <w:lang w:val="en-US"/>
        </w:rPr>
      </w:pPr>
      <w:r w:rsidRPr="009663D3">
        <w:rPr>
          <w:rFonts w:ascii="Times New Roman" w:hAnsi="Times New Roman" w:cs="Times New Roman"/>
          <w:b/>
          <w:bCs/>
          <w:sz w:val="28"/>
          <w:szCs w:val="28"/>
          <w:lang w:val="en-US"/>
        </w:rPr>
        <w:t>Pension Fund of the Russian Federation</w:t>
      </w:r>
      <w:r w:rsidRPr="009663D3">
        <w:rPr>
          <w:rStyle w:val="apple-converted-space"/>
          <w:rFonts w:ascii="Times New Roman" w:hAnsi="Times New Roman" w:cs="Times New Roman"/>
          <w:b/>
          <w:bCs/>
          <w:sz w:val="28"/>
          <w:szCs w:val="28"/>
          <w:lang w:val="en-US"/>
        </w:rPr>
        <w:t> </w:t>
      </w:r>
      <w:r w:rsidRPr="009663D3">
        <w:rPr>
          <w:rFonts w:ascii="Times New Roman" w:hAnsi="Times New Roman" w:cs="Times New Roman"/>
          <w:sz w:val="28"/>
          <w:szCs w:val="28"/>
          <w:lang w:val="en-US"/>
        </w:rPr>
        <w:t>(federal level fund);</w:t>
      </w:r>
    </w:p>
    <w:p w:rsidR="004379E3" w:rsidRPr="009663D3" w:rsidRDefault="004379E3" w:rsidP="009663D3">
      <w:pPr>
        <w:numPr>
          <w:ilvl w:val="0"/>
          <w:numId w:val="21"/>
        </w:numPr>
        <w:shd w:val="clear" w:color="auto" w:fill="FFFFFF"/>
        <w:tabs>
          <w:tab w:val="left" w:pos="993"/>
        </w:tabs>
        <w:spacing w:after="0" w:line="240" w:lineRule="auto"/>
        <w:ind w:hanging="11"/>
        <w:jc w:val="both"/>
        <w:rPr>
          <w:rFonts w:ascii="Times New Roman" w:hAnsi="Times New Roman" w:cs="Times New Roman"/>
          <w:sz w:val="28"/>
          <w:szCs w:val="28"/>
          <w:lang w:val="en-US"/>
        </w:rPr>
      </w:pPr>
      <w:r w:rsidRPr="009663D3">
        <w:rPr>
          <w:rFonts w:ascii="Times New Roman" w:hAnsi="Times New Roman" w:cs="Times New Roman"/>
          <w:b/>
          <w:bCs/>
          <w:sz w:val="28"/>
          <w:szCs w:val="28"/>
          <w:lang w:val="en-US"/>
        </w:rPr>
        <w:t>Social Insurance Fund of the Russian Federation</w:t>
      </w:r>
      <w:r w:rsidRPr="009663D3">
        <w:rPr>
          <w:rStyle w:val="apple-converted-space"/>
          <w:rFonts w:ascii="Times New Roman" w:hAnsi="Times New Roman" w:cs="Times New Roman"/>
          <w:b/>
          <w:bCs/>
          <w:sz w:val="28"/>
          <w:szCs w:val="28"/>
          <w:lang w:val="en-US"/>
        </w:rPr>
        <w:t> </w:t>
      </w:r>
      <w:r w:rsidRPr="009663D3">
        <w:rPr>
          <w:rFonts w:ascii="Times New Roman" w:hAnsi="Times New Roman" w:cs="Times New Roman"/>
          <w:sz w:val="28"/>
          <w:szCs w:val="28"/>
          <w:lang w:val="en-US"/>
        </w:rPr>
        <w:t>(federal level fund);</w:t>
      </w:r>
    </w:p>
    <w:p w:rsidR="004379E3" w:rsidRPr="009663D3" w:rsidRDefault="004379E3" w:rsidP="009663D3">
      <w:pPr>
        <w:numPr>
          <w:ilvl w:val="0"/>
          <w:numId w:val="21"/>
        </w:numPr>
        <w:shd w:val="clear" w:color="auto" w:fill="FFFFFF"/>
        <w:tabs>
          <w:tab w:val="left" w:pos="993"/>
        </w:tabs>
        <w:spacing w:after="0" w:line="240" w:lineRule="auto"/>
        <w:ind w:hanging="11"/>
        <w:jc w:val="both"/>
        <w:rPr>
          <w:rFonts w:ascii="Times New Roman" w:hAnsi="Times New Roman" w:cs="Times New Roman"/>
          <w:sz w:val="28"/>
          <w:szCs w:val="28"/>
          <w:lang w:val="en-US"/>
        </w:rPr>
      </w:pPr>
      <w:r w:rsidRPr="009663D3">
        <w:rPr>
          <w:rFonts w:ascii="Times New Roman" w:hAnsi="Times New Roman" w:cs="Times New Roman"/>
          <w:b/>
          <w:bCs/>
          <w:sz w:val="28"/>
          <w:szCs w:val="28"/>
          <w:lang w:val="en-US"/>
        </w:rPr>
        <w:t>Federal Compulsory Medical Insurance Fund</w:t>
      </w:r>
      <w:r w:rsidRPr="009663D3">
        <w:rPr>
          <w:rStyle w:val="apple-converted-space"/>
          <w:rFonts w:ascii="Times New Roman" w:hAnsi="Times New Roman" w:cs="Times New Roman"/>
          <w:b/>
          <w:bCs/>
          <w:sz w:val="28"/>
          <w:szCs w:val="28"/>
          <w:lang w:val="en-US"/>
        </w:rPr>
        <w:t> </w:t>
      </w:r>
      <w:r w:rsidRPr="009663D3">
        <w:rPr>
          <w:rFonts w:ascii="Times New Roman" w:hAnsi="Times New Roman" w:cs="Times New Roman"/>
          <w:sz w:val="28"/>
          <w:szCs w:val="28"/>
          <w:lang w:val="en-US"/>
        </w:rPr>
        <w:t>(federal level fund);</w:t>
      </w:r>
    </w:p>
    <w:p w:rsidR="004379E3" w:rsidRPr="009663D3" w:rsidRDefault="004379E3" w:rsidP="009663D3">
      <w:pPr>
        <w:numPr>
          <w:ilvl w:val="0"/>
          <w:numId w:val="21"/>
        </w:numPr>
        <w:shd w:val="clear" w:color="auto" w:fill="FFFFFF"/>
        <w:tabs>
          <w:tab w:val="left" w:pos="993"/>
        </w:tabs>
        <w:spacing w:after="0" w:line="240" w:lineRule="auto"/>
        <w:ind w:hanging="11"/>
        <w:jc w:val="both"/>
        <w:rPr>
          <w:rFonts w:ascii="Times New Roman" w:hAnsi="Times New Roman" w:cs="Times New Roman"/>
          <w:sz w:val="28"/>
          <w:szCs w:val="28"/>
          <w:lang w:val="en-US"/>
        </w:rPr>
      </w:pPr>
      <w:r w:rsidRPr="009663D3">
        <w:rPr>
          <w:rFonts w:ascii="Times New Roman" w:hAnsi="Times New Roman" w:cs="Times New Roman"/>
          <w:b/>
          <w:bCs/>
          <w:sz w:val="28"/>
          <w:szCs w:val="28"/>
          <w:lang w:val="en-US"/>
        </w:rPr>
        <w:t>Territorial Funds of Compulsory Medical Insurance</w:t>
      </w:r>
      <w:r w:rsidRPr="009663D3">
        <w:rPr>
          <w:rStyle w:val="apple-converted-space"/>
          <w:rFonts w:ascii="Times New Roman" w:hAnsi="Times New Roman" w:cs="Times New Roman"/>
          <w:b/>
          <w:bCs/>
          <w:sz w:val="28"/>
          <w:szCs w:val="28"/>
          <w:lang w:val="en-US"/>
        </w:rPr>
        <w:t> </w:t>
      </w:r>
      <w:r w:rsidRPr="009663D3">
        <w:rPr>
          <w:rFonts w:ascii="Times New Roman" w:hAnsi="Times New Roman" w:cs="Times New Roman"/>
          <w:sz w:val="28"/>
          <w:szCs w:val="28"/>
          <w:lang w:val="en-US"/>
        </w:rPr>
        <w:t>(regional level funds);</w:t>
      </w:r>
    </w:p>
    <w:p w:rsidR="004379E3" w:rsidRPr="009663D3" w:rsidRDefault="004379E3" w:rsidP="009663D3">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All possible</w:t>
      </w:r>
      <w:r w:rsidRPr="009663D3">
        <w:rPr>
          <w:rStyle w:val="apple-converted-space"/>
          <w:sz w:val="28"/>
          <w:szCs w:val="28"/>
          <w:lang w:val="en-US"/>
        </w:rPr>
        <w:t> </w:t>
      </w:r>
      <w:r w:rsidRPr="009663D3">
        <w:rPr>
          <w:b/>
          <w:bCs/>
          <w:sz w:val="28"/>
          <w:szCs w:val="28"/>
          <w:lang w:val="en-US"/>
        </w:rPr>
        <w:t>sources of revenues</w:t>
      </w:r>
      <w:r w:rsidRPr="009663D3">
        <w:rPr>
          <w:rStyle w:val="apple-converted-space"/>
          <w:b/>
          <w:bCs/>
          <w:sz w:val="28"/>
          <w:szCs w:val="28"/>
          <w:lang w:val="en-US"/>
        </w:rPr>
        <w:t> </w:t>
      </w:r>
      <w:r w:rsidRPr="009663D3">
        <w:rPr>
          <w:sz w:val="28"/>
          <w:szCs w:val="28"/>
          <w:lang w:val="en-US"/>
        </w:rPr>
        <w:t>of the budgets of mentioned extra-budgetary funds are provided by Article 146 of the Russian Budgetary Code.</w:t>
      </w:r>
    </w:p>
    <w:p w:rsidR="004379E3" w:rsidRPr="009663D3" w:rsidRDefault="004379E3" w:rsidP="009663D3">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The primary source of revenues are so-called “</w:t>
      </w:r>
      <w:r w:rsidRPr="009663D3">
        <w:rPr>
          <w:b/>
          <w:bCs/>
          <w:sz w:val="28"/>
          <w:szCs w:val="28"/>
          <w:lang w:val="en-US"/>
        </w:rPr>
        <w:t>insurance payments</w:t>
      </w:r>
      <w:r w:rsidRPr="009663D3">
        <w:rPr>
          <w:sz w:val="28"/>
          <w:szCs w:val="28"/>
          <w:lang w:val="en-US"/>
        </w:rPr>
        <w:t xml:space="preserve">” (plural: strakhovie vznosy, </w:t>
      </w:r>
      <w:r w:rsidRPr="009663D3">
        <w:rPr>
          <w:sz w:val="28"/>
          <w:szCs w:val="28"/>
        </w:rPr>
        <w:t>страховые</w:t>
      </w:r>
      <w:r w:rsidRPr="009663D3">
        <w:rPr>
          <w:sz w:val="28"/>
          <w:szCs w:val="28"/>
          <w:lang w:val="en-US"/>
        </w:rPr>
        <w:t xml:space="preserve"> </w:t>
      </w:r>
      <w:r w:rsidRPr="009663D3">
        <w:rPr>
          <w:sz w:val="28"/>
          <w:szCs w:val="28"/>
        </w:rPr>
        <w:t>взносы</w:t>
      </w:r>
      <w:r w:rsidRPr="009663D3">
        <w:rPr>
          <w:sz w:val="28"/>
          <w:szCs w:val="28"/>
          <w:lang w:val="en-US"/>
        </w:rPr>
        <w:t>) that are</w:t>
      </w:r>
      <w:r w:rsidRPr="009663D3">
        <w:rPr>
          <w:rStyle w:val="apple-converted-space"/>
          <w:sz w:val="28"/>
          <w:szCs w:val="28"/>
          <w:lang w:val="en-US"/>
        </w:rPr>
        <w:t> </w:t>
      </w:r>
      <w:r w:rsidRPr="009663D3">
        <w:rPr>
          <w:b/>
          <w:bCs/>
          <w:sz w:val="28"/>
          <w:szCs w:val="28"/>
          <w:lang w:val="en-US"/>
        </w:rPr>
        <w:t>made on compulsory basis by the Russian employers</w:t>
      </w:r>
      <w:r w:rsidRPr="009663D3">
        <w:rPr>
          <w:rStyle w:val="apple-converted-space"/>
          <w:b/>
          <w:bCs/>
          <w:sz w:val="28"/>
          <w:szCs w:val="28"/>
          <w:lang w:val="en-US"/>
        </w:rPr>
        <w:t> </w:t>
      </w:r>
      <w:r w:rsidRPr="009663D3">
        <w:rPr>
          <w:sz w:val="28"/>
          <w:szCs w:val="28"/>
          <w:lang w:val="en-US"/>
        </w:rPr>
        <w:t>and are calculated typically as a</w:t>
      </w:r>
      <w:r w:rsidRPr="009663D3">
        <w:rPr>
          <w:rStyle w:val="apple-converted-space"/>
          <w:sz w:val="28"/>
          <w:szCs w:val="28"/>
          <w:lang w:val="en-US"/>
        </w:rPr>
        <w:t> </w:t>
      </w:r>
      <w:r w:rsidRPr="009663D3">
        <w:rPr>
          <w:b/>
          <w:bCs/>
          <w:sz w:val="28"/>
          <w:szCs w:val="28"/>
          <w:lang w:val="en-US"/>
        </w:rPr>
        <w:t>percentage of aggregate remuneration paid by employers to employees</w:t>
      </w:r>
      <w:r w:rsidRPr="009663D3">
        <w:rPr>
          <w:rStyle w:val="apple-converted-space"/>
          <w:b/>
          <w:bCs/>
          <w:sz w:val="28"/>
          <w:szCs w:val="28"/>
          <w:lang w:val="en-US"/>
        </w:rPr>
        <w:t> </w:t>
      </w:r>
      <w:r w:rsidRPr="009663D3">
        <w:rPr>
          <w:sz w:val="28"/>
          <w:szCs w:val="28"/>
          <w:lang w:val="en-US"/>
        </w:rPr>
        <w:t>(in most cases this refers to the size of salary fund).</w:t>
      </w:r>
    </w:p>
    <w:p w:rsidR="004379E3" w:rsidRPr="009663D3" w:rsidRDefault="004379E3" w:rsidP="009663D3">
      <w:pPr>
        <w:pStyle w:val="a6"/>
        <w:shd w:val="clear" w:color="auto" w:fill="FFFFFF"/>
        <w:spacing w:before="0" w:beforeAutospacing="0" w:after="0" w:afterAutospacing="0"/>
        <w:ind w:firstLine="567"/>
        <w:jc w:val="both"/>
        <w:rPr>
          <w:sz w:val="28"/>
          <w:szCs w:val="28"/>
          <w:lang w:val="en-US"/>
        </w:rPr>
      </w:pPr>
      <w:r w:rsidRPr="009663D3">
        <w:rPr>
          <w:sz w:val="28"/>
          <w:szCs w:val="28"/>
          <w:lang w:val="en-US"/>
        </w:rPr>
        <w:t>As of 2016, the most part of employers had to pay about</w:t>
      </w:r>
      <w:r w:rsidRPr="009663D3">
        <w:rPr>
          <w:rStyle w:val="apple-converted-space"/>
          <w:sz w:val="28"/>
          <w:szCs w:val="28"/>
          <w:lang w:val="en-US"/>
        </w:rPr>
        <w:t> </w:t>
      </w:r>
      <w:r w:rsidRPr="009663D3">
        <w:rPr>
          <w:b/>
          <w:bCs/>
          <w:sz w:val="28"/>
          <w:szCs w:val="28"/>
          <w:lang w:val="en-US"/>
        </w:rPr>
        <w:t>30% of their salary fund</w:t>
      </w:r>
      <w:r w:rsidRPr="009663D3">
        <w:rPr>
          <w:rStyle w:val="apple-converted-space"/>
          <w:b/>
          <w:bCs/>
          <w:sz w:val="28"/>
          <w:szCs w:val="28"/>
          <w:lang w:val="en-US"/>
        </w:rPr>
        <w:t> </w:t>
      </w:r>
      <w:r w:rsidRPr="009663D3">
        <w:rPr>
          <w:sz w:val="28"/>
          <w:szCs w:val="28"/>
          <w:lang w:val="en-US"/>
        </w:rPr>
        <w:t>to the three mentioned federal extra-budgetary funds.</w:t>
      </w:r>
    </w:p>
    <w:p w:rsidR="004379E3" w:rsidRPr="009663D3" w:rsidRDefault="004379E3" w:rsidP="009663D3">
      <w:pPr>
        <w:pStyle w:val="3"/>
        <w:shd w:val="clear" w:color="auto" w:fill="FFFFFF"/>
        <w:spacing w:before="0" w:line="240" w:lineRule="auto"/>
        <w:ind w:firstLine="567"/>
        <w:jc w:val="both"/>
        <w:rPr>
          <w:rFonts w:ascii="Times New Roman" w:hAnsi="Times New Roman" w:cs="Times New Roman"/>
          <w:color w:val="auto"/>
          <w:sz w:val="28"/>
          <w:szCs w:val="28"/>
          <w:lang w:val="en-US"/>
        </w:rPr>
      </w:pPr>
      <w:r w:rsidRPr="009663D3">
        <w:rPr>
          <w:rFonts w:ascii="Times New Roman" w:hAnsi="Times New Roman" w:cs="Times New Roman"/>
          <w:color w:val="auto"/>
          <w:sz w:val="28"/>
          <w:szCs w:val="28"/>
          <w:lang w:val="en-US"/>
        </w:rPr>
        <w:t xml:space="preserve"> Annual report on the extra-budgetary funds execution (starting from January 1, 2011)</w:t>
      </w:r>
    </w:p>
    <w:p w:rsidR="004379E3" w:rsidRPr="0068182D" w:rsidRDefault="004379E3" w:rsidP="00C40532">
      <w:pPr>
        <w:pStyle w:val="a6"/>
        <w:shd w:val="clear" w:color="auto" w:fill="FFFFFF"/>
        <w:spacing w:before="0" w:beforeAutospacing="0" w:after="0" w:afterAutospacing="0"/>
        <w:jc w:val="both"/>
        <w:rPr>
          <w:color w:val="4D4D48"/>
          <w:sz w:val="28"/>
          <w:szCs w:val="28"/>
          <w:lang w:val="en-US"/>
        </w:rPr>
      </w:pPr>
      <w:r w:rsidRPr="0068182D">
        <w:rPr>
          <w:color w:val="4D4D48"/>
          <w:sz w:val="28"/>
          <w:szCs w:val="28"/>
          <w:lang w:val="en-US"/>
        </w:rPr>
        <w:t> </w:t>
      </w:r>
    </w:p>
    <w:tbl>
      <w:tblPr>
        <w:tblW w:w="9717" w:type="dxa"/>
        <w:tblBorders>
          <w:bottom w:val="single" w:sz="12" w:space="0" w:color="DDDEDF"/>
        </w:tblBorders>
        <w:shd w:val="clear" w:color="auto" w:fill="FFFFFF"/>
        <w:tblLayout w:type="fixed"/>
        <w:tblCellMar>
          <w:left w:w="0" w:type="dxa"/>
          <w:right w:w="0" w:type="dxa"/>
        </w:tblCellMar>
        <w:tblLook w:val="04A0"/>
      </w:tblPr>
      <w:tblGrid>
        <w:gridCol w:w="999"/>
        <w:gridCol w:w="2572"/>
        <w:gridCol w:w="1065"/>
        <w:gridCol w:w="1065"/>
        <w:gridCol w:w="1065"/>
        <w:gridCol w:w="1065"/>
        <w:gridCol w:w="943"/>
        <w:gridCol w:w="943"/>
      </w:tblGrid>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pStyle w:val="a6"/>
              <w:spacing w:before="0" w:beforeAutospacing="0" w:after="0" w:afterAutospacing="0"/>
              <w:jc w:val="both"/>
              <w:rPr>
                <w:sz w:val="22"/>
                <w:szCs w:val="22"/>
              </w:rPr>
            </w:pPr>
            <w:r w:rsidRPr="009663D3">
              <w:rPr>
                <w:rStyle w:val="a3"/>
                <w:sz w:val="22"/>
                <w:szCs w:val="22"/>
              </w:rPr>
              <w:t>No/No</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pStyle w:val="a6"/>
              <w:spacing w:before="0" w:beforeAutospacing="0" w:after="0" w:afterAutospacing="0"/>
              <w:jc w:val="both"/>
              <w:rPr>
                <w:sz w:val="22"/>
                <w:szCs w:val="22"/>
              </w:rPr>
            </w:pPr>
            <w:r w:rsidRPr="009663D3">
              <w:rPr>
                <w:rStyle w:val="a3"/>
                <w:sz w:val="22"/>
                <w:szCs w:val="22"/>
              </w:rPr>
              <w:t>Indicator</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pStyle w:val="a6"/>
              <w:spacing w:before="0" w:beforeAutospacing="0" w:after="0" w:afterAutospacing="0"/>
              <w:jc w:val="both"/>
              <w:rPr>
                <w:sz w:val="22"/>
                <w:szCs w:val="22"/>
              </w:rPr>
            </w:pPr>
            <w:r w:rsidRPr="009663D3">
              <w:rPr>
                <w:rStyle w:val="a3"/>
                <w:sz w:val="22"/>
                <w:szCs w:val="22"/>
              </w:rPr>
              <w:t>2011</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pStyle w:val="a6"/>
              <w:spacing w:before="0" w:beforeAutospacing="0" w:after="0" w:afterAutospacing="0"/>
              <w:jc w:val="both"/>
              <w:rPr>
                <w:sz w:val="22"/>
                <w:szCs w:val="22"/>
              </w:rPr>
            </w:pPr>
            <w:r w:rsidRPr="009663D3">
              <w:rPr>
                <w:rStyle w:val="a3"/>
                <w:sz w:val="22"/>
                <w:szCs w:val="22"/>
              </w:rPr>
              <w:t>2012</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pStyle w:val="a6"/>
              <w:spacing w:before="0" w:beforeAutospacing="0" w:after="0" w:afterAutospacing="0"/>
              <w:jc w:val="both"/>
              <w:rPr>
                <w:sz w:val="22"/>
                <w:szCs w:val="22"/>
              </w:rPr>
            </w:pPr>
            <w:r w:rsidRPr="009663D3">
              <w:rPr>
                <w:rStyle w:val="a3"/>
                <w:sz w:val="22"/>
                <w:szCs w:val="22"/>
              </w:rPr>
              <w:t>2013</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pStyle w:val="a6"/>
              <w:spacing w:before="0" w:beforeAutospacing="0" w:after="0" w:afterAutospacing="0"/>
              <w:jc w:val="both"/>
              <w:rPr>
                <w:sz w:val="22"/>
                <w:szCs w:val="22"/>
              </w:rPr>
            </w:pPr>
            <w:r w:rsidRPr="009663D3">
              <w:rPr>
                <w:rStyle w:val="a3"/>
                <w:sz w:val="22"/>
                <w:szCs w:val="22"/>
              </w:rPr>
              <w:t>2014</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pStyle w:val="a6"/>
              <w:spacing w:before="0" w:beforeAutospacing="0" w:after="0" w:afterAutospacing="0"/>
              <w:jc w:val="both"/>
              <w:rPr>
                <w:sz w:val="22"/>
                <w:szCs w:val="22"/>
              </w:rPr>
            </w:pPr>
            <w:r w:rsidRPr="009663D3">
              <w:rPr>
                <w:rStyle w:val="a3"/>
                <w:sz w:val="22"/>
                <w:szCs w:val="22"/>
              </w:rPr>
              <w:t>2015</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pStyle w:val="a6"/>
              <w:spacing w:before="0" w:beforeAutospacing="0" w:after="0" w:afterAutospacing="0"/>
              <w:jc w:val="both"/>
              <w:rPr>
                <w:sz w:val="22"/>
                <w:szCs w:val="22"/>
              </w:rPr>
            </w:pPr>
            <w:r w:rsidRPr="009663D3">
              <w:rPr>
                <w:rStyle w:val="a3"/>
                <w:sz w:val="22"/>
                <w:szCs w:val="22"/>
              </w:rPr>
              <w:t>2016</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State extra-budgetary funds</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1.1.</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Revenues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5 819.6</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7 487.7</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8 093.2</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7 979.4</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9 241.5</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9 464,4</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1.1.1.</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social contributions</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3 307.4</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4 379.1</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5 026.1</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5 438.8</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5 947.5</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6 039,0</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1.2.</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Expenditure</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5 387.0</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6 914.6</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7 993.5</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8 005.0</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9 921.2</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9 649,8</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1.3.</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Deficit (-) / surplus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432.6</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573.1</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99.7</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-25.5</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-679.8</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-185,4</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including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r>
      <w:tr w:rsidR="004379E3" w:rsidRPr="008E2EAF"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Pension Fund of the Russian Federation</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2.1.</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Revenues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5 255.6</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5 890.4</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6 388.4</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6 159.1</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7 126.6</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7 625,2</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2.1.1.</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social contributions</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2 823.7</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3 038.5</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3 478.8</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3 711.8</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3 878.7</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4 144,4</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2.2.</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Expenditure</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4 922.1</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5 451.2</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6 378.5</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6 190.1</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7 670.3</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7 829,7</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2.3.</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Deficit (-) / surplus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333.5</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439.1</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9.8</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-31.1</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-543.6</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-204,4</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Federal  Medical Insurance Fund</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3.1.</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Revenues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348.4</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966.5</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1 101.4</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1 250.5</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1 573.5</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1 657,6</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3.1.1.</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social contributions</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326.6</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914.0</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1 073.1</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1 218.4</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1 537.6</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1 624,2</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3.2.</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Expenditure</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310.4</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932.2</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1 048.7</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1 268.7</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1 638.8</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1 590,2</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3.3.</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Deficit (-) / surplus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38.0</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34.4</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52.6</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-18.1</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-65.3</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67,5</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 </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Social Insurance Fund of the Russian Federation</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4.1.</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Revenues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215.5</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630.8</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603.5</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569.8</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541.3</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181,5</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4.1.1.</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social contributions</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157.0</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426.7</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474.2</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508.5</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531.1</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270,3</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4.2.</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Expenditure</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154.5</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531.2</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566.2</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546.2</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612.1</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230,0</w:t>
            </w:r>
          </w:p>
        </w:tc>
      </w:tr>
      <w:tr w:rsidR="004379E3" w:rsidRPr="009663D3" w:rsidTr="001608BE">
        <w:tc>
          <w:tcPr>
            <w:tcW w:w="999"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4.3.</w:t>
            </w:r>
          </w:p>
        </w:tc>
        <w:tc>
          <w:tcPr>
            <w:tcW w:w="2572"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Deficit (-) / surplus (+)</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61.0</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99.6</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37.3</w:t>
            </w:r>
          </w:p>
        </w:tc>
        <w:tc>
          <w:tcPr>
            <w:tcW w:w="1065" w:type="dxa"/>
            <w:tcBorders>
              <w:top w:val="outset" w:sz="2" w:space="0" w:color="auto"/>
              <w:left w:val="outset" w:sz="2" w:space="0" w:color="auto"/>
              <w:bottom w:val="outset" w:sz="2" w:space="0" w:color="auto"/>
              <w:right w:val="single" w:sz="24" w:space="0" w:color="FFFFFF"/>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23.6</w:t>
            </w:r>
          </w:p>
        </w:tc>
        <w:tc>
          <w:tcPr>
            <w:tcW w:w="943" w:type="dxa"/>
            <w:tcBorders>
              <w:top w:val="outset" w:sz="2" w:space="0" w:color="auto"/>
              <w:left w:val="outset" w:sz="2" w:space="0" w:color="auto"/>
              <w:bottom w:val="outset" w:sz="2"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-70.9</w:t>
            </w:r>
          </w:p>
        </w:tc>
        <w:tc>
          <w:tcPr>
            <w:tcW w:w="943" w:type="dxa"/>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rPr>
            </w:pPr>
            <w:r w:rsidRPr="009663D3">
              <w:rPr>
                <w:rFonts w:ascii="Times New Roman" w:hAnsi="Times New Roman" w:cs="Times New Roman"/>
              </w:rPr>
              <w:t>-48,5</w:t>
            </w:r>
          </w:p>
        </w:tc>
      </w:tr>
      <w:tr w:rsidR="004379E3" w:rsidRPr="008E2EAF" w:rsidTr="001608BE">
        <w:tc>
          <w:tcPr>
            <w:tcW w:w="9717" w:type="dxa"/>
            <w:gridSpan w:val="8"/>
            <w:tcBorders>
              <w:top w:val="single" w:sz="4" w:space="0" w:color="auto"/>
              <w:left w:val="single" w:sz="4" w:space="0" w:color="auto"/>
              <w:bottom w:val="single" w:sz="4" w:space="0" w:color="auto"/>
              <w:right w:val="single" w:sz="4" w:space="0" w:color="auto"/>
            </w:tcBorders>
            <w:shd w:val="clear" w:color="auto" w:fill="FFFFFF"/>
            <w:tcMar>
              <w:top w:w="102" w:type="dxa"/>
              <w:left w:w="169" w:type="dxa"/>
              <w:bottom w:w="102" w:type="dxa"/>
              <w:right w:w="169" w:type="dxa"/>
            </w:tcMar>
            <w:hideMark/>
          </w:tcPr>
          <w:p w:rsidR="004379E3" w:rsidRPr="009663D3" w:rsidRDefault="004379E3" w:rsidP="00C40532">
            <w:pPr>
              <w:spacing w:after="0" w:line="240" w:lineRule="auto"/>
              <w:jc w:val="both"/>
              <w:rPr>
                <w:rFonts w:ascii="Times New Roman" w:hAnsi="Times New Roman" w:cs="Times New Roman"/>
                <w:lang w:val="en-US"/>
              </w:rPr>
            </w:pPr>
            <w:r w:rsidRPr="009663D3">
              <w:rPr>
                <w:rFonts w:ascii="Times New Roman" w:hAnsi="Times New Roman" w:cs="Times New Roman"/>
                <w:lang w:val="en-US"/>
              </w:rPr>
              <w:t>*** Preliminary information, excluding information on contributions for statutory short-term disability insurance and maternity</w:t>
            </w:r>
          </w:p>
        </w:tc>
      </w:tr>
    </w:tbl>
    <w:p w:rsidR="004379E3" w:rsidRPr="0068182D" w:rsidRDefault="004379E3" w:rsidP="00C40532">
      <w:pPr>
        <w:spacing w:after="0" w:line="240" w:lineRule="auto"/>
        <w:ind w:firstLine="708"/>
        <w:jc w:val="both"/>
        <w:rPr>
          <w:rFonts w:ascii="Times New Roman" w:hAnsi="Times New Roman" w:cs="Times New Roman"/>
          <w:sz w:val="28"/>
          <w:szCs w:val="28"/>
          <w:lang w:val="en-US"/>
        </w:rPr>
      </w:pPr>
    </w:p>
    <w:p w:rsidR="004379E3" w:rsidRPr="0068182D" w:rsidRDefault="004379E3" w:rsidP="00C40532">
      <w:pPr>
        <w:spacing w:after="0" w:line="240" w:lineRule="auto"/>
        <w:ind w:firstLine="708"/>
        <w:jc w:val="both"/>
        <w:rPr>
          <w:rFonts w:ascii="Times New Roman" w:hAnsi="Times New Roman" w:cs="Times New Roman"/>
          <w:sz w:val="28"/>
          <w:szCs w:val="28"/>
          <w:lang w:val="en-US"/>
        </w:rPr>
      </w:pPr>
    </w:p>
    <w:p w:rsidR="004379E3" w:rsidRPr="009663D3" w:rsidRDefault="004379E3" w:rsidP="00C40532">
      <w:pPr>
        <w:shd w:val="clear" w:color="auto" w:fill="FFFFFF"/>
        <w:spacing w:after="0" w:line="240" w:lineRule="auto"/>
        <w:jc w:val="both"/>
        <w:rPr>
          <w:rFonts w:ascii="Times New Roman" w:hAnsi="Times New Roman" w:cs="Times New Roman"/>
          <w:sz w:val="28"/>
          <w:szCs w:val="28"/>
          <w:lang w:val="en-US"/>
        </w:rPr>
      </w:pPr>
      <w:r w:rsidRPr="009663D3">
        <w:rPr>
          <w:rFonts w:ascii="Times New Roman" w:hAnsi="Times New Roman" w:cs="Times New Roman"/>
          <w:b/>
          <w:bCs/>
          <w:sz w:val="28"/>
          <w:szCs w:val="28"/>
          <w:lang w:val="en-US"/>
        </w:rPr>
        <w:t>Typical Compulsory Insurance Payments to the Russian Extra-Budgetary Funds in 2016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1844"/>
        <w:gridCol w:w="1948"/>
        <w:gridCol w:w="2762"/>
        <w:gridCol w:w="992"/>
        <w:gridCol w:w="2228"/>
      </w:tblGrid>
      <w:tr w:rsidR="004379E3" w:rsidRPr="009663D3" w:rsidTr="001608BE">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Payment</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Extra-Budgetary Fund</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Payment Base</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 payment</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Corresponding regulations</w:t>
            </w:r>
          </w:p>
        </w:tc>
      </w:tr>
      <w:tr w:rsidR="004379E3" w:rsidRPr="008E2EAF" w:rsidTr="001608BE">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Compulsory pension insurance payments</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Pension Fund</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lang w:val="en-US"/>
              </w:rPr>
            </w:pPr>
            <w:r w:rsidRPr="009663D3">
              <w:rPr>
                <w:rFonts w:ascii="Times New Roman" w:hAnsi="Times New Roman" w:cs="Times New Roman"/>
                <w:sz w:val="24"/>
                <w:szCs w:val="24"/>
                <w:lang w:val="en-US"/>
              </w:rPr>
              <w:t>Total sums of remunerations from employer to employee, differentiated tariff depending on accumulated remuneration of a person (for 2016: 22% until reaching RUR 796 000, 10% for the exceeding sum)</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22%</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lang w:val="en-US"/>
              </w:rPr>
            </w:pPr>
            <w:r w:rsidRPr="009663D3">
              <w:rPr>
                <w:rFonts w:ascii="Times New Roman" w:hAnsi="Times New Roman" w:cs="Times New Roman"/>
                <w:b/>
                <w:bCs/>
                <w:sz w:val="24"/>
                <w:szCs w:val="24"/>
                <w:lang w:val="en-US"/>
              </w:rPr>
              <w:t>Payment rationale:</w:t>
            </w:r>
            <w:r w:rsidRPr="009663D3">
              <w:rPr>
                <w:rFonts w:ascii="Times New Roman" w:hAnsi="Times New Roman" w:cs="Times New Roman"/>
                <w:sz w:val="24"/>
                <w:szCs w:val="24"/>
                <w:lang w:val="en-US"/>
              </w:rPr>
              <w:br/>
              <w:t>federal law #167-FZ</w:t>
            </w:r>
            <w:hyperlink r:id="rId481" w:anchor="32" w:tooltip="Source: ConsultantPlus&#10;Date: 15.12.2001" w:history="1">
              <w:r w:rsidRPr="009663D3">
                <w:rPr>
                  <w:rFonts w:ascii="Times New Roman" w:hAnsi="Times New Roman" w:cs="Times New Roman"/>
                  <w:sz w:val="24"/>
                  <w:szCs w:val="24"/>
                  <w:vertAlign w:val="superscript"/>
                  <w:lang w:val="en-US"/>
                </w:rPr>
                <w:t>[32]</w:t>
              </w:r>
            </w:hyperlink>
            <w:r w:rsidRPr="009663D3">
              <w:rPr>
                <w:rFonts w:ascii="Times New Roman" w:hAnsi="Times New Roman" w:cs="Times New Roman"/>
                <w:sz w:val="24"/>
                <w:szCs w:val="24"/>
                <w:lang w:val="en-US"/>
              </w:rPr>
              <w:br/>
            </w:r>
            <w:r w:rsidRPr="009663D3">
              <w:rPr>
                <w:rFonts w:ascii="Times New Roman" w:hAnsi="Times New Roman" w:cs="Times New Roman"/>
                <w:b/>
                <w:bCs/>
                <w:sz w:val="24"/>
                <w:szCs w:val="24"/>
                <w:lang w:val="en-US"/>
              </w:rPr>
              <w:t>Payment base:</w:t>
            </w:r>
            <w:r w:rsidRPr="009663D3">
              <w:rPr>
                <w:rFonts w:ascii="Times New Roman" w:hAnsi="Times New Roman" w:cs="Times New Roman"/>
                <w:sz w:val="24"/>
                <w:szCs w:val="24"/>
                <w:lang w:val="en-US"/>
              </w:rPr>
              <w:br/>
              <w:t>article 8 of the federal law #212-FZ</w:t>
            </w:r>
            <w:hyperlink r:id="rId482" w:anchor="33" w:tooltip="Source: ConsultantPlus&#10;Date: 24.07.2009" w:history="1">
              <w:r w:rsidRPr="009663D3">
                <w:rPr>
                  <w:rFonts w:ascii="Times New Roman" w:hAnsi="Times New Roman" w:cs="Times New Roman"/>
                  <w:sz w:val="24"/>
                  <w:szCs w:val="24"/>
                  <w:vertAlign w:val="superscript"/>
                  <w:lang w:val="en-US"/>
                </w:rPr>
                <w:t>[33]</w:t>
              </w:r>
            </w:hyperlink>
            <w:r w:rsidRPr="009663D3">
              <w:rPr>
                <w:rFonts w:ascii="Times New Roman" w:hAnsi="Times New Roman" w:cs="Times New Roman"/>
                <w:sz w:val="24"/>
                <w:szCs w:val="24"/>
                <w:lang w:val="en-US"/>
              </w:rPr>
              <w:br/>
            </w:r>
            <w:r w:rsidRPr="009663D3">
              <w:rPr>
                <w:rFonts w:ascii="Times New Roman" w:hAnsi="Times New Roman" w:cs="Times New Roman"/>
                <w:b/>
                <w:bCs/>
                <w:sz w:val="24"/>
                <w:szCs w:val="24"/>
                <w:lang w:val="en-US"/>
              </w:rPr>
              <w:t>Payment %:</w:t>
            </w:r>
            <w:r w:rsidRPr="009663D3">
              <w:rPr>
                <w:rFonts w:ascii="Times New Roman" w:hAnsi="Times New Roman" w:cs="Times New Roman"/>
                <w:sz w:val="24"/>
                <w:szCs w:val="24"/>
                <w:lang w:val="en-US"/>
              </w:rPr>
              <w:br/>
              <w:t>article 58.2 of the federal law #212-FZ</w:t>
            </w:r>
            <w:hyperlink r:id="rId483" w:anchor="34" w:tooltip="Source: ConsultantPlus&#10;Date: 24.07.2009" w:history="1">
              <w:r w:rsidRPr="009663D3">
                <w:rPr>
                  <w:rFonts w:ascii="Times New Roman" w:hAnsi="Times New Roman" w:cs="Times New Roman"/>
                  <w:sz w:val="24"/>
                  <w:szCs w:val="24"/>
                  <w:vertAlign w:val="superscript"/>
                  <w:lang w:val="en-US"/>
                </w:rPr>
                <w:t>[34]</w:t>
              </w:r>
            </w:hyperlink>
            <w:r w:rsidRPr="009663D3">
              <w:rPr>
                <w:rFonts w:ascii="Times New Roman" w:hAnsi="Times New Roman" w:cs="Times New Roman"/>
                <w:sz w:val="24"/>
                <w:szCs w:val="24"/>
                <w:lang w:val="en-US"/>
              </w:rPr>
              <w:t>, resolution of the Russian Government #1265</w:t>
            </w:r>
            <w:hyperlink r:id="rId484" w:anchor="35" w:tooltip="Source: ConsultantPlus&#10;Date: 26.11.2015" w:history="1">
              <w:r w:rsidRPr="009663D3">
                <w:rPr>
                  <w:rFonts w:ascii="Times New Roman" w:hAnsi="Times New Roman" w:cs="Times New Roman"/>
                  <w:sz w:val="24"/>
                  <w:szCs w:val="24"/>
                  <w:vertAlign w:val="superscript"/>
                  <w:lang w:val="en-US"/>
                </w:rPr>
                <w:t>[35]</w:t>
              </w:r>
            </w:hyperlink>
          </w:p>
        </w:tc>
      </w:tr>
      <w:tr w:rsidR="004379E3" w:rsidRPr="008E2EAF" w:rsidTr="001608BE">
        <w:tc>
          <w:tcPr>
            <w:tcW w:w="0" w:type="auto"/>
            <w:shd w:val="clear" w:color="auto" w:fill="EEEEEE"/>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Compulsory medical insurance payments</w:t>
            </w:r>
          </w:p>
        </w:tc>
        <w:tc>
          <w:tcPr>
            <w:tcW w:w="0" w:type="auto"/>
            <w:shd w:val="clear" w:color="auto" w:fill="EEEEEE"/>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lang w:val="en-US"/>
              </w:rPr>
            </w:pPr>
            <w:r w:rsidRPr="009663D3">
              <w:rPr>
                <w:rFonts w:ascii="Times New Roman" w:hAnsi="Times New Roman" w:cs="Times New Roman"/>
                <w:sz w:val="24"/>
                <w:szCs w:val="24"/>
                <w:lang w:val="en-US"/>
              </w:rPr>
              <w:t>Federal Compulsory Medical Insurance Fund (Pension Fund is the administrator of payments)</w:t>
            </w:r>
          </w:p>
        </w:tc>
        <w:tc>
          <w:tcPr>
            <w:tcW w:w="0" w:type="auto"/>
            <w:shd w:val="clear" w:color="auto" w:fill="EEEEEE"/>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lang w:val="en-US"/>
              </w:rPr>
            </w:pPr>
            <w:r w:rsidRPr="009663D3">
              <w:rPr>
                <w:rFonts w:ascii="Times New Roman" w:hAnsi="Times New Roman" w:cs="Times New Roman"/>
                <w:sz w:val="24"/>
                <w:szCs w:val="24"/>
                <w:lang w:val="en-US"/>
              </w:rPr>
              <w:t>Total sums of remunerations from employer to employee</w:t>
            </w:r>
          </w:p>
        </w:tc>
        <w:tc>
          <w:tcPr>
            <w:tcW w:w="0" w:type="auto"/>
            <w:shd w:val="clear" w:color="auto" w:fill="EEEEEE"/>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5.1%</w:t>
            </w:r>
          </w:p>
        </w:tc>
        <w:tc>
          <w:tcPr>
            <w:tcW w:w="0" w:type="auto"/>
            <w:shd w:val="clear" w:color="auto" w:fill="EEEEEE"/>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lang w:val="en-US"/>
              </w:rPr>
            </w:pPr>
            <w:r w:rsidRPr="009663D3">
              <w:rPr>
                <w:rFonts w:ascii="Times New Roman" w:hAnsi="Times New Roman" w:cs="Times New Roman"/>
                <w:b/>
                <w:bCs/>
                <w:sz w:val="24"/>
                <w:szCs w:val="24"/>
                <w:lang w:val="en-US"/>
              </w:rPr>
              <w:t>Payment rationale:</w:t>
            </w:r>
            <w:r w:rsidRPr="009663D3">
              <w:rPr>
                <w:rFonts w:ascii="Times New Roman" w:hAnsi="Times New Roman" w:cs="Times New Roman"/>
                <w:sz w:val="24"/>
                <w:szCs w:val="24"/>
                <w:lang w:val="en-US"/>
              </w:rPr>
              <w:br/>
              <w:t>federal law #326-FZ</w:t>
            </w:r>
            <w:hyperlink r:id="rId485" w:anchor="36" w:tooltip="Source: ConsultantPlus&#10;Date: 29.11.2010" w:history="1">
              <w:r w:rsidRPr="009663D3">
                <w:rPr>
                  <w:rFonts w:ascii="Times New Roman" w:hAnsi="Times New Roman" w:cs="Times New Roman"/>
                  <w:sz w:val="24"/>
                  <w:szCs w:val="24"/>
                  <w:vertAlign w:val="superscript"/>
                  <w:lang w:val="en-US"/>
                </w:rPr>
                <w:t>[36]</w:t>
              </w:r>
            </w:hyperlink>
            <w:r w:rsidRPr="009663D3">
              <w:rPr>
                <w:rFonts w:ascii="Times New Roman" w:hAnsi="Times New Roman" w:cs="Times New Roman"/>
                <w:sz w:val="24"/>
                <w:szCs w:val="24"/>
                <w:lang w:val="en-US"/>
              </w:rPr>
              <w:br/>
            </w:r>
            <w:r w:rsidRPr="009663D3">
              <w:rPr>
                <w:rFonts w:ascii="Times New Roman" w:hAnsi="Times New Roman" w:cs="Times New Roman"/>
                <w:b/>
                <w:bCs/>
                <w:sz w:val="24"/>
                <w:szCs w:val="24"/>
                <w:lang w:val="en-US"/>
              </w:rPr>
              <w:t>Payment base:</w:t>
            </w:r>
            <w:r w:rsidRPr="009663D3">
              <w:rPr>
                <w:rFonts w:ascii="Times New Roman" w:hAnsi="Times New Roman" w:cs="Times New Roman"/>
                <w:sz w:val="24"/>
                <w:szCs w:val="24"/>
                <w:lang w:val="en-US"/>
              </w:rPr>
              <w:br/>
              <w:t>article 8 of the federal law #212-FZ</w:t>
            </w:r>
            <w:hyperlink r:id="rId486" w:anchor="37" w:tooltip="Source: ConsultantPlus&#10;Date: 24.07.2009" w:history="1">
              <w:r w:rsidRPr="009663D3">
                <w:rPr>
                  <w:rFonts w:ascii="Times New Roman" w:hAnsi="Times New Roman" w:cs="Times New Roman"/>
                  <w:sz w:val="24"/>
                  <w:szCs w:val="24"/>
                  <w:vertAlign w:val="superscript"/>
                  <w:lang w:val="en-US"/>
                </w:rPr>
                <w:t>[37]</w:t>
              </w:r>
            </w:hyperlink>
            <w:r w:rsidRPr="009663D3">
              <w:rPr>
                <w:rFonts w:ascii="Times New Roman" w:hAnsi="Times New Roman" w:cs="Times New Roman"/>
                <w:sz w:val="24"/>
                <w:szCs w:val="24"/>
                <w:lang w:val="en-US"/>
              </w:rPr>
              <w:br/>
            </w:r>
            <w:r w:rsidRPr="009663D3">
              <w:rPr>
                <w:rFonts w:ascii="Times New Roman" w:hAnsi="Times New Roman" w:cs="Times New Roman"/>
                <w:b/>
                <w:bCs/>
                <w:sz w:val="24"/>
                <w:szCs w:val="24"/>
                <w:lang w:val="en-US"/>
              </w:rPr>
              <w:t>Payment %:</w:t>
            </w:r>
            <w:r w:rsidRPr="009663D3">
              <w:rPr>
                <w:rFonts w:ascii="Times New Roman" w:hAnsi="Times New Roman" w:cs="Times New Roman"/>
                <w:sz w:val="24"/>
                <w:szCs w:val="24"/>
                <w:lang w:val="en-US"/>
              </w:rPr>
              <w:br/>
              <w:t>article 58.2 of the federal law #212-FZ</w:t>
            </w:r>
            <w:hyperlink r:id="rId487" w:anchor="38" w:tooltip="Source: ConsultantPlus&#10;Date: 24.07.2009" w:history="1">
              <w:r w:rsidRPr="009663D3">
                <w:rPr>
                  <w:rFonts w:ascii="Times New Roman" w:hAnsi="Times New Roman" w:cs="Times New Roman"/>
                  <w:sz w:val="24"/>
                  <w:szCs w:val="24"/>
                  <w:vertAlign w:val="superscript"/>
                  <w:lang w:val="en-US"/>
                </w:rPr>
                <w:t>[38]</w:t>
              </w:r>
            </w:hyperlink>
          </w:p>
        </w:tc>
      </w:tr>
      <w:tr w:rsidR="004379E3" w:rsidRPr="008E2EAF" w:rsidTr="001608BE">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lang w:val="en-US"/>
              </w:rPr>
            </w:pPr>
            <w:r w:rsidRPr="009663D3">
              <w:rPr>
                <w:rFonts w:ascii="Times New Roman" w:hAnsi="Times New Roman" w:cs="Times New Roman"/>
                <w:sz w:val="24"/>
                <w:szCs w:val="24"/>
                <w:lang w:val="en-US"/>
              </w:rPr>
              <w:t>Compulsory social insurance payments (temporary disability and maternity)</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Social Insurance Fund</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lang w:val="en-US"/>
              </w:rPr>
            </w:pPr>
            <w:r w:rsidRPr="009663D3">
              <w:rPr>
                <w:rFonts w:ascii="Times New Roman" w:hAnsi="Times New Roman" w:cs="Times New Roman"/>
                <w:sz w:val="24"/>
                <w:szCs w:val="24"/>
                <w:lang w:val="en-US"/>
              </w:rPr>
              <w:t>Total sums of remunerations from employer to employee with upper limit of the base at RUR 718 000 for the year 2016.</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2.9%</w:t>
            </w:r>
          </w:p>
        </w:tc>
        <w:tc>
          <w:tcPr>
            <w:tcW w:w="0" w:type="auto"/>
            <w:shd w:val="clear" w:color="auto" w:fill="FFFFFF"/>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lang w:val="en-US"/>
              </w:rPr>
            </w:pPr>
            <w:r w:rsidRPr="009663D3">
              <w:rPr>
                <w:rFonts w:ascii="Times New Roman" w:hAnsi="Times New Roman" w:cs="Times New Roman"/>
                <w:b/>
                <w:bCs/>
                <w:sz w:val="24"/>
                <w:szCs w:val="24"/>
                <w:lang w:val="en-US"/>
              </w:rPr>
              <w:t>Payment rationale:</w:t>
            </w:r>
            <w:r w:rsidRPr="009663D3">
              <w:rPr>
                <w:rFonts w:ascii="Times New Roman" w:hAnsi="Times New Roman" w:cs="Times New Roman"/>
                <w:sz w:val="24"/>
                <w:szCs w:val="24"/>
                <w:lang w:val="en-US"/>
              </w:rPr>
              <w:br/>
              <w:t>federal law #165-FZ</w:t>
            </w:r>
            <w:hyperlink r:id="rId488" w:anchor="39" w:tooltip="Source: ConsultantPlus&#10;Date: 16.07.1999" w:history="1">
              <w:r w:rsidRPr="009663D3">
                <w:rPr>
                  <w:rFonts w:ascii="Times New Roman" w:hAnsi="Times New Roman" w:cs="Times New Roman"/>
                  <w:sz w:val="24"/>
                  <w:szCs w:val="24"/>
                  <w:vertAlign w:val="superscript"/>
                  <w:lang w:val="en-US"/>
                </w:rPr>
                <w:t>[39]</w:t>
              </w:r>
            </w:hyperlink>
            <w:r w:rsidRPr="009663D3">
              <w:rPr>
                <w:rFonts w:ascii="Times New Roman" w:hAnsi="Times New Roman" w:cs="Times New Roman"/>
                <w:sz w:val="24"/>
                <w:szCs w:val="24"/>
                <w:lang w:val="en-US"/>
              </w:rPr>
              <w:br/>
            </w:r>
            <w:r w:rsidRPr="009663D3">
              <w:rPr>
                <w:rFonts w:ascii="Times New Roman" w:hAnsi="Times New Roman" w:cs="Times New Roman"/>
                <w:b/>
                <w:bCs/>
                <w:sz w:val="24"/>
                <w:szCs w:val="24"/>
                <w:lang w:val="en-US"/>
              </w:rPr>
              <w:t>Payment base:</w:t>
            </w:r>
            <w:r w:rsidRPr="009663D3">
              <w:rPr>
                <w:rFonts w:ascii="Times New Roman" w:hAnsi="Times New Roman" w:cs="Times New Roman"/>
                <w:sz w:val="24"/>
                <w:szCs w:val="24"/>
                <w:lang w:val="en-US"/>
              </w:rPr>
              <w:br/>
              <w:t>article 8 of the federal law #212-FZ</w:t>
            </w:r>
            <w:hyperlink r:id="rId489" w:anchor="40" w:tooltip="Source: ConsultantPlus&#10;Date: 24.07.2009" w:history="1">
              <w:r w:rsidRPr="009663D3">
                <w:rPr>
                  <w:rFonts w:ascii="Times New Roman" w:hAnsi="Times New Roman" w:cs="Times New Roman"/>
                  <w:sz w:val="24"/>
                  <w:szCs w:val="24"/>
                  <w:vertAlign w:val="superscript"/>
                  <w:lang w:val="en-US"/>
                </w:rPr>
                <w:t>[40]</w:t>
              </w:r>
            </w:hyperlink>
            <w:r w:rsidRPr="009663D3">
              <w:rPr>
                <w:rFonts w:ascii="Times New Roman" w:hAnsi="Times New Roman" w:cs="Times New Roman"/>
                <w:sz w:val="24"/>
                <w:szCs w:val="24"/>
                <w:lang w:val="en-US"/>
              </w:rPr>
              <w:br/>
            </w:r>
            <w:r w:rsidRPr="009663D3">
              <w:rPr>
                <w:rFonts w:ascii="Times New Roman" w:hAnsi="Times New Roman" w:cs="Times New Roman"/>
                <w:b/>
                <w:bCs/>
                <w:sz w:val="24"/>
                <w:szCs w:val="24"/>
                <w:lang w:val="en-US"/>
              </w:rPr>
              <w:t>Payment %:</w:t>
            </w:r>
            <w:r w:rsidRPr="009663D3">
              <w:rPr>
                <w:rFonts w:ascii="Times New Roman" w:hAnsi="Times New Roman" w:cs="Times New Roman"/>
                <w:sz w:val="24"/>
                <w:szCs w:val="24"/>
                <w:lang w:val="en-US"/>
              </w:rPr>
              <w:br/>
              <w:t>article 58.2 of the federal law #212-FZ</w:t>
            </w:r>
            <w:hyperlink r:id="rId490" w:anchor="41" w:tooltip="Source: ConsultantPlus&#10;Date: 24.07.2009" w:history="1">
              <w:r w:rsidRPr="009663D3">
                <w:rPr>
                  <w:rFonts w:ascii="Times New Roman" w:hAnsi="Times New Roman" w:cs="Times New Roman"/>
                  <w:sz w:val="24"/>
                  <w:szCs w:val="24"/>
                  <w:vertAlign w:val="superscript"/>
                  <w:lang w:val="en-US"/>
                </w:rPr>
                <w:t>[41]</w:t>
              </w:r>
            </w:hyperlink>
            <w:r w:rsidRPr="009663D3">
              <w:rPr>
                <w:rFonts w:ascii="Times New Roman" w:hAnsi="Times New Roman" w:cs="Times New Roman"/>
                <w:sz w:val="24"/>
                <w:szCs w:val="24"/>
                <w:lang w:val="en-US"/>
              </w:rPr>
              <w:t>, resolution of the Russian Government #1265</w:t>
            </w:r>
            <w:hyperlink r:id="rId491" w:anchor="42" w:tooltip="Source: ConsultantPlus&#10;Date: 26.11.2015" w:history="1">
              <w:r w:rsidRPr="009663D3">
                <w:rPr>
                  <w:rFonts w:ascii="Times New Roman" w:hAnsi="Times New Roman" w:cs="Times New Roman"/>
                  <w:sz w:val="24"/>
                  <w:szCs w:val="24"/>
                  <w:vertAlign w:val="superscript"/>
                  <w:lang w:val="en-US"/>
                </w:rPr>
                <w:t>[42]</w:t>
              </w:r>
            </w:hyperlink>
          </w:p>
        </w:tc>
      </w:tr>
      <w:tr w:rsidR="004379E3" w:rsidRPr="008E2EAF" w:rsidTr="001608BE">
        <w:tc>
          <w:tcPr>
            <w:tcW w:w="0" w:type="auto"/>
            <w:shd w:val="clear" w:color="auto" w:fill="EEEEEE"/>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lang w:val="en-US"/>
              </w:rPr>
            </w:pPr>
            <w:r w:rsidRPr="009663D3">
              <w:rPr>
                <w:rFonts w:ascii="Times New Roman" w:hAnsi="Times New Roman" w:cs="Times New Roman"/>
                <w:sz w:val="24"/>
                <w:szCs w:val="24"/>
                <w:lang w:val="en-US"/>
              </w:rPr>
              <w:t>Compulsory social insurance payments (accidents at work and occupational deceases)</w:t>
            </w:r>
          </w:p>
        </w:tc>
        <w:tc>
          <w:tcPr>
            <w:tcW w:w="0" w:type="auto"/>
            <w:shd w:val="clear" w:color="auto" w:fill="EEEEEE"/>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Social Insurance Fund</w:t>
            </w:r>
          </w:p>
        </w:tc>
        <w:tc>
          <w:tcPr>
            <w:tcW w:w="0" w:type="auto"/>
            <w:shd w:val="clear" w:color="auto" w:fill="EEEEEE"/>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lang w:val="en-US"/>
              </w:rPr>
            </w:pPr>
            <w:r w:rsidRPr="009663D3">
              <w:rPr>
                <w:rFonts w:ascii="Times New Roman" w:hAnsi="Times New Roman" w:cs="Times New Roman"/>
                <w:sz w:val="24"/>
                <w:szCs w:val="24"/>
                <w:lang w:val="en-US"/>
              </w:rPr>
              <w:t>Total sums of remunerations from employer to employee, different tariffs depending on occupation</w:t>
            </w:r>
          </w:p>
        </w:tc>
        <w:tc>
          <w:tcPr>
            <w:tcW w:w="0" w:type="auto"/>
            <w:shd w:val="clear" w:color="auto" w:fill="EEEEEE"/>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rPr>
            </w:pPr>
            <w:r w:rsidRPr="009663D3">
              <w:rPr>
                <w:rFonts w:ascii="Times New Roman" w:hAnsi="Times New Roman" w:cs="Times New Roman"/>
                <w:sz w:val="24"/>
                <w:szCs w:val="24"/>
              </w:rPr>
              <w:t>0.2% ÷ 8.5%</w:t>
            </w:r>
          </w:p>
        </w:tc>
        <w:tc>
          <w:tcPr>
            <w:tcW w:w="0" w:type="auto"/>
            <w:shd w:val="clear" w:color="auto" w:fill="EEEEEE"/>
            <w:tcMar>
              <w:top w:w="68" w:type="dxa"/>
              <w:left w:w="68" w:type="dxa"/>
              <w:bottom w:w="68" w:type="dxa"/>
              <w:right w:w="68" w:type="dxa"/>
            </w:tcMar>
            <w:vAlign w:val="center"/>
            <w:hideMark/>
          </w:tcPr>
          <w:p w:rsidR="004379E3" w:rsidRPr="009663D3" w:rsidRDefault="004379E3" w:rsidP="00C40532">
            <w:pPr>
              <w:spacing w:after="0" w:line="240" w:lineRule="auto"/>
              <w:jc w:val="both"/>
              <w:rPr>
                <w:rFonts w:ascii="Times New Roman" w:hAnsi="Times New Roman" w:cs="Times New Roman"/>
                <w:sz w:val="24"/>
                <w:szCs w:val="24"/>
                <w:lang w:val="en-US"/>
              </w:rPr>
            </w:pPr>
            <w:r w:rsidRPr="009663D3">
              <w:rPr>
                <w:rFonts w:ascii="Times New Roman" w:hAnsi="Times New Roman" w:cs="Times New Roman"/>
                <w:b/>
                <w:bCs/>
                <w:sz w:val="24"/>
                <w:szCs w:val="24"/>
                <w:lang w:val="en-US"/>
              </w:rPr>
              <w:t>Payment rationale:</w:t>
            </w:r>
            <w:r w:rsidRPr="009663D3">
              <w:rPr>
                <w:rFonts w:ascii="Times New Roman" w:hAnsi="Times New Roman" w:cs="Times New Roman"/>
                <w:sz w:val="24"/>
                <w:szCs w:val="24"/>
                <w:lang w:val="en-US"/>
              </w:rPr>
              <w:br/>
              <w:t>federal law #125-FZ</w:t>
            </w:r>
            <w:hyperlink r:id="rId492" w:anchor="43" w:tooltip="Source: ConsultantPlus&#10;Date: 24.7.1998" w:history="1">
              <w:r w:rsidRPr="009663D3">
                <w:rPr>
                  <w:rFonts w:ascii="Times New Roman" w:hAnsi="Times New Roman" w:cs="Times New Roman"/>
                  <w:sz w:val="24"/>
                  <w:szCs w:val="24"/>
                  <w:vertAlign w:val="superscript"/>
                  <w:lang w:val="en-US"/>
                </w:rPr>
                <w:t>[43]</w:t>
              </w:r>
            </w:hyperlink>
            <w:r w:rsidRPr="009663D3">
              <w:rPr>
                <w:rFonts w:ascii="Times New Roman" w:hAnsi="Times New Roman" w:cs="Times New Roman"/>
                <w:sz w:val="24"/>
                <w:szCs w:val="24"/>
                <w:lang w:val="en-US"/>
              </w:rPr>
              <w:br/>
            </w:r>
            <w:r w:rsidRPr="009663D3">
              <w:rPr>
                <w:rFonts w:ascii="Times New Roman" w:hAnsi="Times New Roman" w:cs="Times New Roman"/>
                <w:b/>
                <w:bCs/>
                <w:sz w:val="24"/>
                <w:szCs w:val="24"/>
                <w:lang w:val="en-US"/>
              </w:rPr>
              <w:t>Payment base:</w:t>
            </w:r>
            <w:r w:rsidRPr="009663D3">
              <w:rPr>
                <w:rFonts w:ascii="Times New Roman" w:hAnsi="Times New Roman" w:cs="Times New Roman"/>
                <w:sz w:val="24"/>
                <w:szCs w:val="24"/>
                <w:lang w:val="en-US"/>
              </w:rPr>
              <w:br/>
              <w:t>article 20.1 of the federal law #125-FZ</w:t>
            </w:r>
            <w:hyperlink r:id="rId493" w:anchor="44" w:tooltip="Source: ConsultantPlus&#10;Date: 24.7.1998" w:history="1">
              <w:r w:rsidRPr="009663D3">
                <w:rPr>
                  <w:rFonts w:ascii="Times New Roman" w:hAnsi="Times New Roman" w:cs="Times New Roman"/>
                  <w:sz w:val="24"/>
                  <w:szCs w:val="24"/>
                  <w:vertAlign w:val="superscript"/>
                  <w:lang w:val="en-US"/>
                </w:rPr>
                <w:t>[44]</w:t>
              </w:r>
            </w:hyperlink>
            <w:r w:rsidRPr="009663D3">
              <w:rPr>
                <w:rFonts w:ascii="Times New Roman" w:hAnsi="Times New Roman" w:cs="Times New Roman"/>
                <w:sz w:val="24"/>
                <w:szCs w:val="24"/>
                <w:lang w:val="en-US"/>
              </w:rPr>
              <w:br/>
            </w:r>
            <w:r w:rsidRPr="009663D3">
              <w:rPr>
                <w:rFonts w:ascii="Times New Roman" w:hAnsi="Times New Roman" w:cs="Times New Roman"/>
                <w:b/>
                <w:bCs/>
                <w:sz w:val="24"/>
                <w:szCs w:val="24"/>
                <w:lang w:val="en-US"/>
              </w:rPr>
              <w:t>Payment %:</w:t>
            </w:r>
            <w:r w:rsidRPr="009663D3">
              <w:rPr>
                <w:rFonts w:ascii="Times New Roman" w:hAnsi="Times New Roman" w:cs="Times New Roman"/>
                <w:sz w:val="24"/>
                <w:szCs w:val="24"/>
                <w:lang w:val="en-US"/>
              </w:rPr>
              <w:br/>
              <w:t>federal law #362-FZ</w:t>
            </w:r>
            <w:hyperlink r:id="rId494" w:anchor="45" w:tooltip="Source: ConsultantPlus&#10;Date: 14.12.2015" w:history="1">
              <w:r w:rsidRPr="009663D3">
                <w:rPr>
                  <w:rFonts w:ascii="Times New Roman" w:hAnsi="Times New Roman" w:cs="Times New Roman"/>
                  <w:sz w:val="24"/>
                  <w:szCs w:val="24"/>
                  <w:vertAlign w:val="superscript"/>
                  <w:lang w:val="en-US"/>
                </w:rPr>
                <w:t>[45]</w:t>
              </w:r>
            </w:hyperlink>
            <w:r w:rsidRPr="009663D3">
              <w:rPr>
                <w:rFonts w:ascii="Times New Roman" w:hAnsi="Times New Roman" w:cs="Times New Roman"/>
                <w:sz w:val="24"/>
                <w:szCs w:val="24"/>
                <w:lang w:val="en-US"/>
              </w:rPr>
              <w:t> (insurance tariffs)</w:t>
            </w:r>
          </w:p>
        </w:tc>
      </w:tr>
    </w:tbl>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Source: compilation of factosphere.com based on corresponding legislative acts.</w:t>
      </w:r>
    </w:p>
    <w:p w:rsidR="009663D3" w:rsidRDefault="009663D3" w:rsidP="001608BE">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There are exceptions on payments to the extra-budgetary funds for taxpayers under Simplified Taxation System and also for several other categories of taxpayers. The employers shall </w:t>
      </w:r>
      <w:r w:rsidRPr="0068182D">
        <w:rPr>
          <w:rFonts w:ascii="Times New Roman" w:hAnsi="Times New Roman" w:cs="Times New Roman"/>
          <w:b/>
          <w:bCs/>
          <w:sz w:val="28"/>
          <w:szCs w:val="28"/>
          <w:lang w:val="en-US"/>
        </w:rPr>
        <w:t>report </w:t>
      </w:r>
      <w:r w:rsidRPr="0068182D">
        <w:rPr>
          <w:rFonts w:ascii="Times New Roman" w:hAnsi="Times New Roman" w:cs="Times New Roman"/>
          <w:sz w:val="28"/>
          <w:szCs w:val="28"/>
          <w:lang w:val="en-US"/>
        </w:rPr>
        <w:t>on their insurance payments to the federal extra-budgetary funds on </w:t>
      </w:r>
      <w:r w:rsidRPr="0068182D">
        <w:rPr>
          <w:rFonts w:ascii="Times New Roman" w:hAnsi="Times New Roman" w:cs="Times New Roman"/>
          <w:b/>
          <w:bCs/>
          <w:sz w:val="28"/>
          <w:szCs w:val="28"/>
          <w:lang w:val="en-US"/>
        </w:rPr>
        <w:t>quarterly basis</w:t>
      </w:r>
      <w:r w:rsidRPr="0068182D">
        <w:rPr>
          <w:rFonts w:ascii="Times New Roman" w:hAnsi="Times New Roman" w:cs="Times New Roman"/>
          <w:sz w:val="28"/>
          <w:szCs w:val="28"/>
          <w:lang w:val="en-US"/>
        </w:rPr>
        <w:t>.</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insurance payments to federal extra-budgetary funds are presently </w:t>
      </w:r>
      <w:r w:rsidRPr="0068182D">
        <w:rPr>
          <w:rFonts w:ascii="Times New Roman" w:hAnsi="Times New Roman" w:cs="Times New Roman"/>
          <w:b/>
          <w:bCs/>
          <w:sz w:val="28"/>
          <w:szCs w:val="28"/>
          <w:lang w:val="en-US"/>
        </w:rPr>
        <w:t>regulated </w:t>
      </w:r>
      <w:r w:rsidRPr="0068182D">
        <w:rPr>
          <w:rFonts w:ascii="Times New Roman" w:hAnsi="Times New Roman" w:cs="Times New Roman"/>
          <w:sz w:val="28"/>
          <w:szCs w:val="28"/>
          <w:lang w:val="en-US"/>
        </w:rPr>
        <w:t>by the Federal Law #212-FZ “On Insurance Payments to Pension Fund of the Russian Federation, Social Insurance Fund of the Russian Federation and Federal Compulsory Medical Insurance Fund” dated July 24, 2009.</w:t>
      </w:r>
      <w:hyperlink r:id="rId495" w:anchor="46" w:tooltip="Source: ConsultantPlus&#10;Date: 24.07.2009" w:history="1">
        <w:r w:rsidRPr="0068182D">
          <w:rPr>
            <w:rFonts w:ascii="Times New Roman" w:hAnsi="Times New Roman" w:cs="Times New Roman"/>
            <w:sz w:val="28"/>
            <w:szCs w:val="28"/>
            <w:vertAlign w:val="superscript"/>
            <w:lang w:val="en-US"/>
          </w:rPr>
          <w:t>[46]</w:t>
        </w:r>
      </w:hyperlink>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It is important to note that the system of the extra-budgetary funds is being changed for the moment. The Russian extra-budgetary funds are being transferred under governance of the Federal Tax Service, and </w:t>
      </w:r>
      <w:r w:rsidRPr="0068182D">
        <w:rPr>
          <w:rFonts w:ascii="Times New Roman" w:hAnsi="Times New Roman" w:cs="Times New Roman"/>
          <w:b/>
          <w:bCs/>
          <w:sz w:val="28"/>
          <w:szCs w:val="28"/>
          <w:lang w:val="en-US"/>
        </w:rPr>
        <w:t>starting from the year 2017 the administration of insurance payments is transferred to the Russian tax authorities. </w:t>
      </w:r>
      <w:r w:rsidRPr="0068182D">
        <w:rPr>
          <w:rFonts w:ascii="Times New Roman" w:hAnsi="Times New Roman" w:cs="Times New Roman"/>
          <w:sz w:val="28"/>
          <w:szCs w:val="28"/>
          <w:lang w:val="en-US"/>
        </w:rPr>
        <w:t>This will lead to amendments in the Budgetary Code</w:t>
      </w:r>
      <w:hyperlink r:id="rId496" w:anchor="47" w:tooltip="Source: Russian Gazette&#10;Date: 03.07.2016" w:history="1">
        <w:r w:rsidRPr="0068182D">
          <w:rPr>
            <w:rFonts w:ascii="Times New Roman" w:hAnsi="Times New Roman" w:cs="Times New Roman"/>
            <w:sz w:val="28"/>
            <w:szCs w:val="28"/>
            <w:vertAlign w:val="superscript"/>
            <w:lang w:val="en-US"/>
          </w:rPr>
          <w:t>[47]</w:t>
        </w:r>
      </w:hyperlink>
      <w:r w:rsidRPr="0068182D">
        <w:rPr>
          <w:rFonts w:ascii="Times New Roman" w:hAnsi="Times New Roman" w:cs="Times New Roman"/>
          <w:sz w:val="28"/>
          <w:szCs w:val="28"/>
          <w:lang w:val="en-US"/>
        </w:rPr>
        <w:t>and the Tax Code</w:t>
      </w:r>
      <w:hyperlink r:id="rId497" w:anchor="48" w:tooltip="Source: ConsultantPlus&#10;Date: 03.07.2016" w:history="1">
        <w:r w:rsidRPr="0068182D">
          <w:rPr>
            <w:rFonts w:ascii="Times New Roman" w:hAnsi="Times New Roman" w:cs="Times New Roman"/>
            <w:sz w:val="28"/>
            <w:szCs w:val="28"/>
            <w:vertAlign w:val="superscript"/>
            <w:lang w:val="en-US"/>
          </w:rPr>
          <w:t>[48]</w:t>
        </w:r>
      </w:hyperlink>
      <w:r w:rsidRPr="0068182D">
        <w:rPr>
          <w:rFonts w:ascii="Times New Roman" w:hAnsi="Times New Roman" w:cs="Times New Roman"/>
          <w:sz w:val="28"/>
          <w:szCs w:val="28"/>
          <w:lang w:val="en-US"/>
        </w:rPr>
        <w:t>, as well as repeal of the mentioned law #212-FZ as envisaged by the federal law #250-FZ dated July 3, 2016</w:t>
      </w:r>
      <w:hyperlink r:id="rId498" w:anchor="49" w:tooltip="Source: ConsultantPlus&#10;Date: 03.07.2016" w:history="1">
        <w:r w:rsidRPr="0068182D">
          <w:rPr>
            <w:rFonts w:ascii="Times New Roman" w:hAnsi="Times New Roman" w:cs="Times New Roman"/>
            <w:sz w:val="28"/>
            <w:szCs w:val="28"/>
            <w:vertAlign w:val="superscript"/>
            <w:lang w:val="en-US"/>
          </w:rPr>
          <w:t>[49]</w:t>
        </w:r>
      </w:hyperlink>
      <w:r w:rsidRPr="0068182D">
        <w:rPr>
          <w:rFonts w:ascii="Times New Roman" w:hAnsi="Times New Roman" w:cs="Times New Roman"/>
          <w:sz w:val="28"/>
          <w:szCs w:val="28"/>
          <w:lang w:val="en-US"/>
        </w:rPr>
        <w:t>. The declared goals are simplifying payments administration for businesses and decrease of the state’s administration expenses.</w:t>
      </w:r>
    </w:p>
    <w:p w:rsidR="004379E3" w:rsidRPr="0068182D" w:rsidRDefault="004379E3" w:rsidP="001608BE">
      <w:pPr>
        <w:shd w:val="clear" w:color="auto" w:fill="FFFFFF"/>
        <w:spacing w:after="0" w:line="240" w:lineRule="auto"/>
        <w:ind w:firstLine="567"/>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br/>
      </w:r>
      <w:r w:rsidRPr="0068182D">
        <w:rPr>
          <w:rFonts w:ascii="Times New Roman" w:hAnsi="Times New Roman" w:cs="Times New Roman"/>
          <w:b/>
          <w:bCs/>
          <w:sz w:val="28"/>
          <w:szCs w:val="28"/>
          <w:lang w:val="en-US"/>
        </w:rPr>
        <w:br/>
        <w:t>Pension Fund of the Russian Federation and the Russian Pension System</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Pension Fund of the Russian Federation (Pensionniy Fond Rossiyskoi Federatsii, </w:t>
      </w:r>
      <w:r w:rsidRPr="0068182D">
        <w:rPr>
          <w:rFonts w:ascii="Times New Roman" w:hAnsi="Times New Roman" w:cs="Times New Roman"/>
          <w:sz w:val="28"/>
          <w:szCs w:val="28"/>
        </w:rPr>
        <w:t>Пенсионный</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Фонд</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Российской</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Федерации</w:t>
      </w:r>
      <w:r w:rsidRPr="0068182D">
        <w:rPr>
          <w:rFonts w:ascii="Times New Roman" w:hAnsi="Times New Roman" w:cs="Times New Roman"/>
          <w:sz w:val="28"/>
          <w:szCs w:val="28"/>
          <w:lang w:val="en-US"/>
        </w:rPr>
        <w:t>), which was established on December 22, 1990, is </w:t>
      </w:r>
      <w:r w:rsidRPr="0068182D">
        <w:rPr>
          <w:rFonts w:ascii="Times New Roman" w:hAnsi="Times New Roman" w:cs="Times New Roman"/>
          <w:b/>
          <w:bCs/>
          <w:sz w:val="28"/>
          <w:szCs w:val="28"/>
          <w:lang w:val="en-US"/>
        </w:rPr>
        <w:t>the major administrator of the Russian pension system</w:t>
      </w:r>
      <w:r w:rsidRPr="0068182D">
        <w:rPr>
          <w:rFonts w:ascii="Times New Roman" w:hAnsi="Times New Roman" w:cs="Times New Roman"/>
          <w:sz w:val="28"/>
          <w:szCs w:val="28"/>
          <w:lang w:val="en-US"/>
        </w:rPr>
        <w:t>.</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b/>
          <w:bCs/>
          <w:sz w:val="28"/>
          <w:szCs w:val="28"/>
          <w:lang w:val="en-US"/>
        </w:rPr>
        <w:t>The structure of the fund </w:t>
      </w:r>
      <w:r w:rsidRPr="0068182D">
        <w:rPr>
          <w:rFonts w:ascii="Times New Roman" w:hAnsi="Times New Roman" w:cs="Times New Roman"/>
          <w:sz w:val="28"/>
          <w:szCs w:val="28"/>
          <w:lang w:val="en-US"/>
        </w:rPr>
        <w:t>comprises 7 administrative divisions in the Russian Federal Districts, 83 regional branches in subjects of the Russian Federation and in the town of Baikonur (Kazakhstan), as well as about 2 500 offices throughout Russia.</w:t>
      </w:r>
      <w:hyperlink r:id="rId499" w:anchor="50" w:tooltip="Source: Pension Fund of the Russian Federation&#10;Date: 12.08.2016" w:history="1">
        <w:r w:rsidRPr="0068182D">
          <w:rPr>
            <w:rFonts w:ascii="Times New Roman" w:hAnsi="Times New Roman" w:cs="Times New Roman"/>
            <w:sz w:val="28"/>
            <w:szCs w:val="28"/>
            <w:vertAlign w:val="superscript"/>
            <w:lang w:val="en-US"/>
          </w:rPr>
          <w:t>[50]</w:t>
        </w:r>
      </w:hyperlink>
      <w:r w:rsidRPr="0068182D">
        <w:rPr>
          <w:rFonts w:ascii="Times New Roman" w:hAnsi="Times New Roman" w:cs="Times New Roman"/>
          <w:sz w:val="28"/>
          <w:szCs w:val="28"/>
          <w:lang w:val="en-US"/>
        </w:rPr>
        <w:t> The fund employs totally more than 130 000 people.</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At present the fund has the following </w:t>
      </w:r>
      <w:r w:rsidRPr="0068182D">
        <w:rPr>
          <w:rFonts w:ascii="Times New Roman" w:hAnsi="Times New Roman" w:cs="Times New Roman"/>
          <w:b/>
          <w:bCs/>
          <w:sz w:val="28"/>
          <w:szCs w:val="28"/>
          <w:lang w:val="en-US"/>
        </w:rPr>
        <w:t>functions</w:t>
      </w:r>
      <w:r w:rsidRPr="0068182D">
        <w:rPr>
          <w:rFonts w:ascii="Times New Roman" w:hAnsi="Times New Roman" w:cs="Times New Roman"/>
          <w:sz w:val="28"/>
          <w:szCs w:val="28"/>
          <w:lang w:val="en-US"/>
        </w:rPr>
        <w:t>:</w:t>
      </w:r>
    </w:p>
    <w:p w:rsidR="004379E3" w:rsidRPr="0068182D" w:rsidRDefault="004379E3" w:rsidP="000537F4">
      <w:pPr>
        <w:numPr>
          <w:ilvl w:val="0"/>
          <w:numId w:val="22"/>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Assigning and payment of insurance pensions, savings pensions and pensions provided by the state;</w:t>
      </w:r>
    </w:p>
    <w:p w:rsidR="004379E3" w:rsidRPr="0068182D" w:rsidRDefault="004379E3" w:rsidP="000537F4">
      <w:pPr>
        <w:numPr>
          <w:ilvl w:val="0"/>
          <w:numId w:val="22"/>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Issue of the state certificates on so-called “maternity capital” (state payments to families with children);</w:t>
      </w:r>
    </w:p>
    <w:p w:rsidR="004379E3" w:rsidRPr="0068182D" w:rsidRDefault="004379E3" w:rsidP="000537F4">
      <w:pPr>
        <w:numPr>
          <w:ilvl w:val="0"/>
          <w:numId w:val="22"/>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Assigning and execution of social payments to selected categories of people (veterans, heroes of the Russian Federation, disabled people, etc.);</w:t>
      </w:r>
    </w:p>
    <w:p w:rsidR="004379E3" w:rsidRPr="0068182D" w:rsidRDefault="004379E3" w:rsidP="000537F4">
      <w:pPr>
        <w:numPr>
          <w:ilvl w:val="0"/>
          <w:numId w:val="22"/>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Administration of compulsory insurance payments for pension and medical insurance (to be carried out by the Federal Tax Service starting from 2017);</w:t>
      </w:r>
    </w:p>
    <w:p w:rsidR="004379E3" w:rsidRPr="0068182D" w:rsidRDefault="004379E3" w:rsidP="000537F4">
      <w:pPr>
        <w:numPr>
          <w:ilvl w:val="0"/>
          <w:numId w:val="22"/>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Assigning and execution of federal social surcharges to pensions in order to align them with the living wage in a region;</w:t>
      </w:r>
    </w:p>
    <w:p w:rsidR="004379E3" w:rsidRPr="0068182D" w:rsidRDefault="004379E3" w:rsidP="000537F4">
      <w:pPr>
        <w:numPr>
          <w:ilvl w:val="0"/>
          <w:numId w:val="22"/>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Maintenance of the system of personal accounting of rights of compulsory pension insurance system participants;</w:t>
      </w:r>
    </w:p>
    <w:p w:rsidR="004379E3" w:rsidRPr="0068182D" w:rsidRDefault="004379E3" w:rsidP="000537F4">
      <w:pPr>
        <w:numPr>
          <w:ilvl w:val="0"/>
          <w:numId w:val="22"/>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Formation, investment and distribution of pension savings;</w:t>
      </w:r>
    </w:p>
    <w:p w:rsidR="004379E3" w:rsidRPr="0068182D" w:rsidRDefault="004379E3" w:rsidP="000537F4">
      <w:pPr>
        <w:numPr>
          <w:ilvl w:val="0"/>
          <w:numId w:val="22"/>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Specific measures of support of pensioners and co-financing of social programs of subjects of the Federation;</w:t>
      </w:r>
    </w:p>
    <w:p w:rsidR="004379E3" w:rsidRPr="0068182D" w:rsidRDefault="004379E3" w:rsidP="000537F4">
      <w:pPr>
        <w:numPr>
          <w:ilvl w:val="0"/>
          <w:numId w:val="22"/>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Implementation of the Program of State Co-Financing of Pensions;</w:t>
      </w:r>
    </w:p>
    <w:p w:rsidR="004379E3" w:rsidRPr="0068182D" w:rsidRDefault="004379E3" w:rsidP="000537F4">
      <w:pPr>
        <w:numPr>
          <w:ilvl w:val="0"/>
          <w:numId w:val="22"/>
        </w:numPr>
        <w:shd w:val="clear" w:color="auto" w:fill="FFFFFF"/>
        <w:spacing w:after="0" w:line="240" w:lineRule="auto"/>
        <w:ind w:firstLine="567"/>
        <w:jc w:val="both"/>
        <w:rPr>
          <w:rFonts w:ascii="Times New Roman" w:hAnsi="Times New Roman" w:cs="Times New Roman"/>
          <w:sz w:val="28"/>
          <w:szCs w:val="28"/>
        </w:rPr>
      </w:pPr>
      <w:r w:rsidRPr="0068182D">
        <w:rPr>
          <w:rFonts w:ascii="Times New Roman" w:hAnsi="Times New Roman" w:cs="Times New Roman"/>
          <w:sz w:val="28"/>
          <w:szCs w:val="28"/>
        </w:rPr>
        <w:t>Implementation of international agreements.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w:t>
      </w:r>
      <w:r w:rsidRPr="0068182D">
        <w:rPr>
          <w:rFonts w:ascii="Times New Roman" w:hAnsi="Times New Roman" w:cs="Times New Roman"/>
          <w:b/>
          <w:bCs/>
          <w:sz w:val="28"/>
          <w:szCs w:val="28"/>
          <w:lang w:val="en-US"/>
        </w:rPr>
        <w:t>planned key indicators of the budget </w:t>
      </w:r>
      <w:r w:rsidRPr="0068182D">
        <w:rPr>
          <w:rFonts w:ascii="Times New Roman" w:hAnsi="Times New Roman" w:cs="Times New Roman"/>
          <w:sz w:val="28"/>
          <w:szCs w:val="28"/>
          <w:lang w:val="en-US"/>
        </w:rPr>
        <w:t>of the Russian Pension Fund for each year are stated in dedicated federal laws that are coordinated with appropriate laws on the federal budget. For the year 2016 that was the federal law #364-FZ “On the Budget of Pension Fund of the Russian Federation for 2016” dated December 14, 2015.</w:t>
      </w:r>
      <w:hyperlink r:id="rId500" w:anchor="51" w:tooltip="Source: ConsultantPlus&#10;Date: 14.12.2015" w:history="1">
        <w:r w:rsidRPr="0068182D">
          <w:rPr>
            <w:rFonts w:ascii="Times New Roman" w:hAnsi="Times New Roman" w:cs="Times New Roman"/>
            <w:sz w:val="28"/>
            <w:szCs w:val="28"/>
            <w:vertAlign w:val="superscript"/>
            <w:lang w:val="en-US"/>
          </w:rPr>
          <w:t>[51]</w:t>
        </w:r>
      </w:hyperlink>
      <w:r w:rsidRPr="0068182D">
        <w:rPr>
          <w:rFonts w:ascii="Times New Roman" w:hAnsi="Times New Roman" w:cs="Times New Roman"/>
          <w:sz w:val="28"/>
          <w:szCs w:val="28"/>
          <w:lang w:val="en-US"/>
        </w:rPr>
        <w:t> The mentioned law also provides the list of the key administrators of revenues of the Fund, the list of the key administrators of sources of the Fund’s budget deficit coverage, the list of sources of internal financing of the Fund’s budget deficit and planned structure of the Fund’s budget outlays.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b/>
          <w:bCs/>
          <w:sz w:val="28"/>
          <w:szCs w:val="28"/>
          <w:lang w:val="en-US"/>
        </w:rPr>
        <w:t>The Russian Pension System</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Throughout the recent decades the Russian pension system was a subject of multiple reforms and substantial changes. The state declared a goal to create the pension system with significant role of private financial institutions, but it has not been successful in this so far. At this point the Russian pension system looks as follows:</w:t>
      </w:r>
    </w:p>
    <w:p w:rsidR="004379E3" w:rsidRPr="0068182D" w:rsidRDefault="004379E3" w:rsidP="00C40532">
      <w:pPr>
        <w:shd w:val="clear" w:color="auto" w:fill="FFFFFF"/>
        <w:spacing w:after="0" w:line="240" w:lineRule="auto"/>
        <w:jc w:val="both"/>
        <w:rPr>
          <w:rFonts w:ascii="Times New Roman" w:hAnsi="Times New Roman" w:cs="Times New Roman"/>
          <w:b/>
          <w:bCs/>
          <w:color w:val="555555"/>
          <w:sz w:val="28"/>
          <w:szCs w:val="28"/>
          <w:lang w:val="en-US"/>
        </w:rPr>
      </w:pPr>
      <w:r w:rsidRPr="0068182D">
        <w:rPr>
          <w:rFonts w:ascii="Times New Roman" w:hAnsi="Times New Roman" w:cs="Times New Roman"/>
          <w:b/>
          <w:bCs/>
          <w:color w:val="555555"/>
          <w:sz w:val="28"/>
          <w:szCs w:val="28"/>
          <w:lang w:val="en-US"/>
        </w:rPr>
        <w:br/>
        <w:t>Provision of Pensions within the Russian Pension System</w:t>
      </w:r>
    </w:p>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5948680" cy="2506345"/>
            <wp:effectExtent l="19050" t="0" r="0" b="0"/>
            <wp:docPr id="20" name="Рисунок 20" descr="http://www.factosphere.com/data/pubfinance/budget/pic/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factosphere.com/data/pubfinance/budget/pic/29@1.png"/>
                    <pic:cNvPicPr>
                      <a:picLocks noChangeAspect="1" noChangeArrowheads="1"/>
                    </pic:cNvPicPr>
                  </pic:nvPicPr>
                  <pic:blipFill>
                    <a:blip r:embed="rId501" cstate="print"/>
                    <a:srcRect/>
                    <a:stretch>
                      <a:fillRect/>
                    </a:stretch>
                  </pic:blipFill>
                  <pic:spPr bwMode="auto">
                    <a:xfrm>
                      <a:off x="0" y="0"/>
                      <a:ext cx="5948680" cy="2506345"/>
                    </a:xfrm>
                    <a:prstGeom prst="rect">
                      <a:avLst/>
                    </a:prstGeom>
                    <a:noFill/>
                    <a:ln w="9525">
                      <a:noFill/>
                      <a:miter lim="800000"/>
                      <a:headEnd/>
                      <a:tailEnd/>
                    </a:ln>
                  </pic:spPr>
                </pic:pic>
              </a:graphicData>
            </a:graphic>
          </wp:inline>
        </w:drawing>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Source: compilation of factosphere.com based on materials of the Pension Fund of Russia (</w:t>
      </w:r>
      <w:hyperlink r:id="rId502" w:history="1">
        <w:r w:rsidRPr="0068182D">
          <w:rPr>
            <w:rFonts w:ascii="Times New Roman" w:hAnsi="Times New Roman" w:cs="Times New Roman"/>
            <w:sz w:val="28"/>
            <w:szCs w:val="28"/>
            <w:u w:val="single"/>
            <w:lang w:val="en-US"/>
          </w:rPr>
          <w:t>www.pfrf.ru</w:t>
        </w:r>
      </w:hyperlink>
      <w:r w:rsidRPr="0068182D">
        <w:rPr>
          <w:rFonts w:ascii="Times New Roman" w:hAnsi="Times New Roman" w:cs="Times New Roman"/>
          <w:sz w:val="28"/>
          <w:szCs w:val="28"/>
          <w:lang w:val="en-US"/>
        </w:rPr>
        <w:t>) and corresponding legislative acts.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schemes of pensions’ provision are represented primarily by </w:t>
      </w:r>
      <w:r w:rsidRPr="0068182D">
        <w:rPr>
          <w:rFonts w:ascii="Times New Roman" w:hAnsi="Times New Roman" w:cs="Times New Roman"/>
          <w:b/>
          <w:bCs/>
          <w:sz w:val="28"/>
          <w:szCs w:val="28"/>
          <w:lang w:val="en-US"/>
        </w:rPr>
        <w:t>pensions provided by the state </w:t>
      </w:r>
      <w:r w:rsidRPr="0068182D">
        <w:rPr>
          <w:rFonts w:ascii="Times New Roman" w:hAnsi="Times New Roman" w:cs="Times New Roman"/>
          <w:sz w:val="28"/>
          <w:szCs w:val="28"/>
          <w:lang w:val="en-US"/>
        </w:rPr>
        <w:t>and </w:t>
      </w:r>
      <w:r w:rsidRPr="0068182D">
        <w:rPr>
          <w:rFonts w:ascii="Times New Roman" w:hAnsi="Times New Roman" w:cs="Times New Roman"/>
          <w:b/>
          <w:bCs/>
          <w:sz w:val="28"/>
          <w:szCs w:val="28"/>
          <w:lang w:val="en-US"/>
        </w:rPr>
        <w:t>compulsory pension insurance scheme. </w:t>
      </w:r>
      <w:r w:rsidRPr="0068182D">
        <w:rPr>
          <w:rFonts w:ascii="Times New Roman" w:hAnsi="Times New Roman" w:cs="Times New Roman"/>
          <w:sz w:val="28"/>
          <w:szCs w:val="28"/>
          <w:lang w:val="en-US"/>
        </w:rPr>
        <w:t>Pensions subject to voluntary payments (corporate and personal pension plans) are still in embryo in Russia.</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b/>
          <w:bCs/>
          <w:sz w:val="28"/>
          <w:szCs w:val="28"/>
          <w:lang w:val="en-US"/>
        </w:rPr>
        <w:t>Pension provided by the state </w:t>
      </w:r>
      <w:r w:rsidRPr="0068182D">
        <w:rPr>
          <w:rFonts w:ascii="Times New Roman" w:hAnsi="Times New Roman" w:cs="Times New Roman"/>
          <w:sz w:val="28"/>
          <w:szCs w:val="28"/>
          <w:lang w:val="en-US"/>
        </w:rPr>
        <w:t xml:space="preserve">(pensiya po gosudarstvennomu obespecheniyu, </w:t>
      </w:r>
      <w:r w:rsidRPr="0068182D">
        <w:rPr>
          <w:rFonts w:ascii="Times New Roman" w:hAnsi="Times New Roman" w:cs="Times New Roman"/>
          <w:sz w:val="28"/>
          <w:szCs w:val="28"/>
        </w:rPr>
        <w:t>пенсия</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по</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государственному</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обеспечению</w:t>
      </w:r>
      <w:r w:rsidRPr="0068182D">
        <w:rPr>
          <w:rFonts w:ascii="Times New Roman" w:hAnsi="Times New Roman" w:cs="Times New Roman"/>
          <w:sz w:val="28"/>
          <w:szCs w:val="28"/>
          <w:lang w:val="en-US"/>
        </w:rPr>
        <w:t>) addresses selected categories of people, including federal state employees, citizens in military service, veterans, victim of radiation / anthropogenic emergencies, pilots and astronauts, disabled persons (including fixed sum pensions to men over 60 years old and women over 65 years old), as well as members of families of the mentioned categories in specific cases.</w:t>
      </w:r>
      <w:hyperlink r:id="rId503" w:anchor="52" w:tooltip="Source: ConsultantPlus&#10;Date: 15.12.2001" w:history="1">
        <w:r w:rsidRPr="0068182D">
          <w:rPr>
            <w:rFonts w:ascii="Times New Roman" w:hAnsi="Times New Roman" w:cs="Times New Roman"/>
            <w:sz w:val="28"/>
            <w:szCs w:val="28"/>
            <w:vertAlign w:val="superscript"/>
            <w:lang w:val="en-US"/>
          </w:rPr>
          <w:t>[52]</w:t>
        </w:r>
      </w:hyperlink>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Despite the existence of pensions provided by the state, the present pension system primarily relies upon </w:t>
      </w:r>
      <w:r w:rsidRPr="0068182D">
        <w:rPr>
          <w:rFonts w:ascii="Times New Roman" w:hAnsi="Times New Roman" w:cs="Times New Roman"/>
          <w:b/>
          <w:bCs/>
          <w:sz w:val="28"/>
          <w:szCs w:val="28"/>
          <w:lang w:val="en-US"/>
        </w:rPr>
        <w:t>compulsory pension insurance scheme</w:t>
      </w:r>
      <w:r w:rsidRPr="0068182D">
        <w:rPr>
          <w:rFonts w:ascii="Times New Roman" w:hAnsi="Times New Roman" w:cs="Times New Roman"/>
          <w:sz w:val="28"/>
          <w:szCs w:val="28"/>
          <w:lang w:val="en-US"/>
        </w:rPr>
        <w:t>, which offers </w:t>
      </w:r>
      <w:r w:rsidRPr="0068182D">
        <w:rPr>
          <w:rFonts w:ascii="Times New Roman" w:hAnsi="Times New Roman" w:cs="Times New Roman"/>
          <w:b/>
          <w:bCs/>
          <w:sz w:val="28"/>
          <w:szCs w:val="28"/>
          <w:lang w:val="en-US"/>
        </w:rPr>
        <w:t>insurance pensions </w:t>
      </w:r>
      <w:r w:rsidRPr="0068182D">
        <w:rPr>
          <w:rFonts w:ascii="Times New Roman" w:hAnsi="Times New Roman" w:cs="Times New Roman"/>
          <w:sz w:val="28"/>
          <w:szCs w:val="28"/>
          <w:lang w:val="en-US"/>
        </w:rPr>
        <w:t>and </w:t>
      </w:r>
      <w:r w:rsidRPr="0068182D">
        <w:rPr>
          <w:rFonts w:ascii="Times New Roman" w:hAnsi="Times New Roman" w:cs="Times New Roman"/>
          <w:b/>
          <w:bCs/>
          <w:sz w:val="28"/>
          <w:szCs w:val="28"/>
          <w:lang w:val="en-US"/>
        </w:rPr>
        <w:t>savings pensions</w:t>
      </w:r>
      <w:r w:rsidRPr="0068182D">
        <w:rPr>
          <w:rFonts w:ascii="Times New Roman" w:hAnsi="Times New Roman" w:cs="Times New Roman"/>
          <w:sz w:val="28"/>
          <w:szCs w:val="28"/>
          <w:lang w:val="en-US"/>
        </w:rPr>
        <w:t>. Under this scheme employers (organisations) are obliged to pay so-called “</w:t>
      </w:r>
      <w:r w:rsidRPr="0068182D">
        <w:rPr>
          <w:rFonts w:ascii="Times New Roman" w:hAnsi="Times New Roman" w:cs="Times New Roman"/>
          <w:b/>
          <w:bCs/>
          <w:sz w:val="28"/>
          <w:szCs w:val="28"/>
          <w:lang w:val="en-US"/>
        </w:rPr>
        <w:t>insurance payments</w:t>
      </w:r>
      <w:r w:rsidRPr="0068182D">
        <w:rPr>
          <w:rFonts w:ascii="Times New Roman" w:hAnsi="Times New Roman" w:cs="Times New Roman"/>
          <w:sz w:val="28"/>
          <w:szCs w:val="28"/>
          <w:lang w:val="en-US"/>
        </w:rPr>
        <w:t>” to the Pension Fund of Russia. Insurance payments are typically calculated as </w:t>
      </w:r>
      <w:r w:rsidRPr="0068182D">
        <w:rPr>
          <w:rFonts w:ascii="Times New Roman" w:hAnsi="Times New Roman" w:cs="Times New Roman"/>
          <w:b/>
          <w:bCs/>
          <w:sz w:val="28"/>
          <w:szCs w:val="28"/>
          <w:lang w:val="en-US"/>
        </w:rPr>
        <w:t>% to total sum of remunerations from employer to employee </w:t>
      </w:r>
      <w:r w:rsidRPr="0068182D">
        <w:rPr>
          <w:rFonts w:ascii="Times New Roman" w:hAnsi="Times New Roman" w:cs="Times New Roman"/>
          <w:sz w:val="28"/>
          <w:szCs w:val="28"/>
          <w:lang w:val="en-US"/>
        </w:rPr>
        <w:t>(22% until 2018 for the most part of organisations according to article 58.2 of the federal law #212-FZ</w:t>
      </w:r>
      <w:hyperlink r:id="rId504" w:anchor="53" w:tooltip="Source: ConsultantPlus Date: 24.07.2009" w:history="1">
        <w:r w:rsidRPr="0068182D">
          <w:rPr>
            <w:rFonts w:ascii="Times New Roman" w:hAnsi="Times New Roman" w:cs="Times New Roman"/>
            <w:sz w:val="28"/>
            <w:szCs w:val="28"/>
            <w:vertAlign w:val="superscript"/>
            <w:lang w:val="en-US"/>
          </w:rPr>
          <w:t>[53]</w:t>
        </w:r>
      </w:hyperlink>
      <w:r w:rsidRPr="0068182D">
        <w:rPr>
          <w:rFonts w:ascii="Times New Roman" w:hAnsi="Times New Roman" w:cs="Times New Roman"/>
          <w:sz w:val="28"/>
          <w:szCs w:val="28"/>
          <w:lang w:val="en-US"/>
        </w:rPr>
        <w:t>).</w:t>
      </w:r>
    </w:p>
    <w:p w:rsidR="004379E3" w:rsidRPr="0068182D" w:rsidRDefault="004379E3" w:rsidP="000537F4">
      <w:pPr>
        <w:numPr>
          <w:ilvl w:val="0"/>
          <w:numId w:val="23"/>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b/>
          <w:bCs/>
          <w:sz w:val="28"/>
          <w:szCs w:val="28"/>
          <w:lang w:val="en-US"/>
        </w:rPr>
        <w:t>Insurance pension </w:t>
      </w:r>
      <w:r w:rsidRPr="0068182D">
        <w:rPr>
          <w:rFonts w:ascii="Times New Roman" w:hAnsi="Times New Roman" w:cs="Times New Roman"/>
          <w:sz w:val="28"/>
          <w:szCs w:val="28"/>
          <w:lang w:val="en-US"/>
        </w:rPr>
        <w:t xml:space="preserve">(strakhovaya pensiya, </w:t>
      </w:r>
      <w:r w:rsidRPr="0068182D">
        <w:rPr>
          <w:rFonts w:ascii="Times New Roman" w:hAnsi="Times New Roman" w:cs="Times New Roman"/>
          <w:sz w:val="28"/>
          <w:szCs w:val="28"/>
        </w:rPr>
        <w:t>страховая</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пенсия</w:t>
      </w:r>
      <w:r w:rsidRPr="0068182D">
        <w:rPr>
          <w:rFonts w:ascii="Times New Roman" w:hAnsi="Times New Roman" w:cs="Times New Roman"/>
          <w:sz w:val="28"/>
          <w:szCs w:val="28"/>
          <w:lang w:val="en-US"/>
        </w:rPr>
        <w:t>) is a contribution-based pension. It assumes the state management of funds that are directed by employers to the Pension Fund of the Russian Federation (insurance payments). That factually means that the government redirects insurance pension payments for coverage of its current pension obligations. After reaching pension age or other indicated event, the state starts monthly payments to a pensioner with annual indexation due to inflation (indexation is decided upon by the Russian Government). The insurance pension may be payed due to age, due to disability and due to the loss of breadwinner (paid to family of a person). This pension is also payed to working pensioners (however, without indexation).</w:t>
      </w:r>
    </w:p>
    <w:p w:rsidR="004379E3" w:rsidRPr="0068182D" w:rsidRDefault="004379E3" w:rsidP="000537F4">
      <w:pPr>
        <w:numPr>
          <w:ilvl w:val="0"/>
          <w:numId w:val="23"/>
        </w:numPr>
        <w:shd w:val="clear" w:color="auto" w:fill="FFFFFF"/>
        <w:spacing w:after="0" w:line="240" w:lineRule="auto"/>
        <w:ind w:left="0" w:firstLine="567"/>
        <w:jc w:val="both"/>
        <w:rPr>
          <w:rFonts w:ascii="Times New Roman" w:hAnsi="Times New Roman" w:cs="Times New Roman"/>
          <w:sz w:val="28"/>
          <w:szCs w:val="28"/>
        </w:rPr>
      </w:pPr>
      <w:r w:rsidRPr="0068182D">
        <w:rPr>
          <w:rFonts w:ascii="Times New Roman" w:hAnsi="Times New Roman" w:cs="Times New Roman"/>
          <w:b/>
          <w:bCs/>
          <w:sz w:val="28"/>
          <w:szCs w:val="28"/>
          <w:lang w:val="en-US"/>
        </w:rPr>
        <w:t>Savings pension </w:t>
      </w:r>
      <w:r w:rsidRPr="0068182D">
        <w:rPr>
          <w:rFonts w:ascii="Times New Roman" w:hAnsi="Times New Roman" w:cs="Times New Roman"/>
          <w:sz w:val="28"/>
          <w:szCs w:val="28"/>
          <w:lang w:val="en-US"/>
        </w:rPr>
        <w:t xml:space="preserve">(nakopitelnaya pensiya, </w:t>
      </w:r>
      <w:r w:rsidRPr="0068182D">
        <w:rPr>
          <w:rFonts w:ascii="Times New Roman" w:hAnsi="Times New Roman" w:cs="Times New Roman"/>
          <w:sz w:val="28"/>
          <w:szCs w:val="28"/>
        </w:rPr>
        <w:t>накопительная</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пенсия</w:t>
      </w:r>
      <w:r w:rsidRPr="0068182D">
        <w:rPr>
          <w:rFonts w:ascii="Times New Roman" w:hAnsi="Times New Roman" w:cs="Times New Roman"/>
          <w:sz w:val="28"/>
          <w:szCs w:val="28"/>
          <w:lang w:val="en-US"/>
        </w:rPr>
        <w:t>) was introduced in 2002 and assumes voluntary redirection of a part of insurance payments to be further managed (invested) by a non-state pension fund (NPF) or another authorized actor selected by a person. The savings pension is presently regulated by the Federal law #424-FZ "On Savings Pension" dated December 28, 2013.</w:t>
      </w:r>
      <w:hyperlink r:id="rId505" w:anchor="54" w:tooltip="Source: ConsultantPlus&#10;Date: 28.12.2013" w:history="1">
        <w:r w:rsidRPr="0068182D">
          <w:rPr>
            <w:rFonts w:ascii="Times New Roman" w:hAnsi="Times New Roman" w:cs="Times New Roman"/>
            <w:sz w:val="28"/>
            <w:szCs w:val="28"/>
            <w:vertAlign w:val="superscript"/>
            <w:lang w:val="en-US"/>
          </w:rPr>
          <w:t>[54]</w:t>
        </w:r>
      </w:hyperlink>
      <w:r w:rsidRPr="0068182D">
        <w:rPr>
          <w:rFonts w:ascii="Times New Roman" w:hAnsi="Times New Roman" w:cs="Times New Roman"/>
          <w:sz w:val="28"/>
          <w:szCs w:val="28"/>
          <w:lang w:val="en-US"/>
        </w:rPr>
        <w:t> As of 2016, the expected period of payment of savings pension, which defines current monthly payments to pensioners, amounted to 234 months (19.5 years).</w:t>
      </w:r>
      <w:hyperlink r:id="rId506" w:anchor="55" w:tooltip="Source: Russian Gazette&#10;Date: 29.12.2015" w:history="1">
        <w:r w:rsidRPr="0068182D">
          <w:rPr>
            <w:rFonts w:ascii="Times New Roman" w:hAnsi="Times New Roman" w:cs="Times New Roman"/>
            <w:sz w:val="28"/>
            <w:szCs w:val="28"/>
            <w:vertAlign w:val="superscript"/>
          </w:rPr>
          <w:t>[55]</w:t>
        </w:r>
      </w:hyperlink>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Private persons presently have </w:t>
      </w:r>
      <w:r w:rsidRPr="0068182D">
        <w:rPr>
          <w:rFonts w:ascii="Times New Roman" w:hAnsi="Times New Roman" w:cs="Times New Roman"/>
          <w:b/>
          <w:bCs/>
          <w:sz w:val="28"/>
          <w:szCs w:val="28"/>
          <w:lang w:val="en-US"/>
        </w:rPr>
        <w:t>two available options </w:t>
      </w:r>
      <w:r w:rsidRPr="0068182D">
        <w:rPr>
          <w:rFonts w:ascii="Times New Roman" w:hAnsi="Times New Roman" w:cs="Times New Roman"/>
          <w:sz w:val="28"/>
          <w:szCs w:val="28"/>
          <w:lang w:val="en-US"/>
        </w:rPr>
        <w:t>of distribution of insurance payments between two mentioned types of pensions (Option 1 for engaging and Option 2 for not engaging savings pensions). It is important to note that not all categories of people are eligible for Option 1 due to age restrictions and limited period of application.</w:t>
      </w:r>
    </w:p>
    <w:p w:rsidR="004379E3" w:rsidRPr="0068182D" w:rsidRDefault="004379E3" w:rsidP="001608BE">
      <w:pPr>
        <w:shd w:val="clear" w:color="auto" w:fill="FFFFFF"/>
        <w:spacing w:after="0" w:line="240" w:lineRule="auto"/>
        <w:ind w:firstLine="567"/>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br/>
        <w:t>Distribution of Insurance Payments under Compulsory Pension Insurance Scheme</w:t>
      </w:r>
    </w:p>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5948680" cy="4034155"/>
            <wp:effectExtent l="19050" t="0" r="0" b="0"/>
            <wp:docPr id="21" name="Рисунок 21" descr="http://www.factosphere.com/data/pubfinance/budget/pic/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factosphere.com/data/pubfinance/budget/pic/30@1.png"/>
                    <pic:cNvPicPr>
                      <a:picLocks noChangeAspect="1" noChangeArrowheads="1"/>
                    </pic:cNvPicPr>
                  </pic:nvPicPr>
                  <pic:blipFill>
                    <a:blip r:embed="rId507" cstate="print"/>
                    <a:srcRect/>
                    <a:stretch>
                      <a:fillRect/>
                    </a:stretch>
                  </pic:blipFill>
                  <pic:spPr bwMode="auto">
                    <a:xfrm>
                      <a:off x="0" y="0"/>
                      <a:ext cx="5948680" cy="4034155"/>
                    </a:xfrm>
                    <a:prstGeom prst="rect">
                      <a:avLst/>
                    </a:prstGeom>
                    <a:noFill/>
                    <a:ln w="9525">
                      <a:noFill/>
                      <a:miter lim="800000"/>
                      <a:headEnd/>
                      <a:tailEnd/>
                    </a:ln>
                  </pic:spPr>
                </pic:pic>
              </a:graphicData>
            </a:graphic>
          </wp:inline>
        </w:drawing>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Source: compilation of factosphere.com based on materials of the Pension Fund of Russia (</w:t>
      </w:r>
      <w:hyperlink r:id="rId508" w:history="1">
        <w:r w:rsidRPr="0068182D">
          <w:rPr>
            <w:rFonts w:ascii="Times New Roman" w:hAnsi="Times New Roman" w:cs="Times New Roman"/>
            <w:sz w:val="28"/>
            <w:szCs w:val="28"/>
            <w:u w:val="single"/>
            <w:lang w:val="en-US"/>
          </w:rPr>
          <w:t>www.pfrf.ru</w:t>
        </w:r>
      </w:hyperlink>
      <w:r w:rsidRPr="0068182D">
        <w:rPr>
          <w:rFonts w:ascii="Times New Roman" w:hAnsi="Times New Roman" w:cs="Times New Roman"/>
          <w:sz w:val="28"/>
          <w:szCs w:val="28"/>
          <w:lang w:val="en-US"/>
        </w:rPr>
        <w:t>) and corresponding legislative acts.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Russian pension system is still not in a stable state for the moment and is likely to overcome further changes. Facing deteriorating economy performance, in 2014 the Government introduced </w:t>
      </w:r>
      <w:r w:rsidRPr="0068182D">
        <w:rPr>
          <w:rFonts w:ascii="Times New Roman" w:hAnsi="Times New Roman" w:cs="Times New Roman"/>
          <w:b/>
          <w:bCs/>
          <w:sz w:val="28"/>
          <w:szCs w:val="28"/>
          <w:lang w:val="en-US"/>
        </w:rPr>
        <w:t>moratorium on insurance payments’ distribution to savings pensions</w:t>
      </w:r>
      <w:r w:rsidRPr="0068182D">
        <w:rPr>
          <w:rFonts w:ascii="Times New Roman" w:hAnsi="Times New Roman" w:cs="Times New Roman"/>
          <w:sz w:val="28"/>
          <w:szCs w:val="28"/>
          <w:lang w:val="en-US"/>
        </w:rPr>
        <w:t>, which was then prolonged for 2015 and 2016 with good chances to stay in place in 2017 and 2018 due to deficit of the federal budget. In that way, the whole pension fund inflows have been factually redirected to insurance pensions (i.e. payments to existing pensioners).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 a result, the reform of introduction of savings pensions, which was aimed at increase of the role of independent financial institutions in the Russian pension system, is presently under threat. As of the mid-2016 there was a debate in the Russian Government on rationale of retaining savings pensions within the Russian compulsory pension insurance scheme.</w:t>
      </w:r>
      <w:hyperlink r:id="rId509" w:anchor="56" w:tooltip="Source: Lenta&#10;Date: 15.07.2016" w:history="1">
        <w:r w:rsidRPr="0068182D">
          <w:rPr>
            <w:rFonts w:ascii="Times New Roman" w:hAnsi="Times New Roman" w:cs="Times New Roman"/>
            <w:sz w:val="28"/>
            <w:szCs w:val="28"/>
            <w:vertAlign w:val="superscript"/>
            <w:lang w:val="en-US"/>
          </w:rPr>
          <w:t>[56]</w:t>
        </w:r>
      </w:hyperlink>
      <w:r w:rsidRPr="0068182D">
        <w:rPr>
          <w:rFonts w:ascii="Times New Roman" w:hAnsi="Times New Roman" w:cs="Times New Roman"/>
          <w:sz w:val="28"/>
          <w:szCs w:val="28"/>
          <w:lang w:val="en-US"/>
        </w:rPr>
        <w:t> It is likely that some changes to the concept of the Russian pension system or even the concept of the full-scale pension reform will be proposed by the Russian Government in autumn 2016.</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There are the following possible major developments of the Russian pension system for the near future:</w:t>
      </w:r>
    </w:p>
    <w:p w:rsidR="004379E3" w:rsidRPr="0068182D" w:rsidRDefault="004379E3" w:rsidP="000537F4">
      <w:pPr>
        <w:numPr>
          <w:ilvl w:val="0"/>
          <w:numId w:val="24"/>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Increase in retirement age for all categories of employees (medium probability in 2016-2017, high probability after 2018 presidential elections, for the state employees appropriate decision commencing from 2017 has already been made in May 2016</w:t>
      </w:r>
      <w:hyperlink r:id="rId510" w:anchor="57" w:tooltip="Source: ConsultantPlus&#10;Date: 23.05.2016" w:history="1">
        <w:r w:rsidRPr="0068182D">
          <w:rPr>
            <w:rFonts w:ascii="Times New Roman" w:hAnsi="Times New Roman" w:cs="Times New Roman"/>
            <w:sz w:val="28"/>
            <w:szCs w:val="28"/>
            <w:vertAlign w:val="superscript"/>
            <w:lang w:val="en-US"/>
          </w:rPr>
          <w:t>[57]</w:t>
        </w:r>
      </w:hyperlink>
      <w:r w:rsidRPr="0068182D">
        <w:rPr>
          <w:rFonts w:ascii="Times New Roman" w:hAnsi="Times New Roman" w:cs="Times New Roman"/>
          <w:sz w:val="28"/>
          <w:szCs w:val="28"/>
          <w:lang w:val="en-US"/>
        </w:rPr>
        <w:t>);</w:t>
      </w:r>
    </w:p>
    <w:p w:rsidR="004379E3" w:rsidRPr="0068182D" w:rsidRDefault="004379E3" w:rsidP="000537F4">
      <w:pPr>
        <w:numPr>
          <w:ilvl w:val="0"/>
          <w:numId w:val="24"/>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Introducing moratorium on insurance payments’ distribution to savings pensions for 2017-2018 (high probability) or</w:t>
      </w:r>
    </w:p>
    <w:p w:rsidR="004379E3" w:rsidRPr="0068182D" w:rsidRDefault="004379E3" w:rsidP="000537F4">
      <w:pPr>
        <w:numPr>
          <w:ilvl w:val="0"/>
          <w:numId w:val="24"/>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Abolishment of savings pensions (medium-low probability).</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On September 23, 2016 the Ministry of Finance and the Russian Central Bank announced the new concept of the pension reform</w:t>
      </w:r>
      <w:hyperlink r:id="rId511" w:anchor="58" w:tooltip="Source: Kommersant&#10;Date: 26.09.2016" w:history="1">
        <w:r w:rsidRPr="0068182D">
          <w:rPr>
            <w:rFonts w:ascii="Times New Roman" w:hAnsi="Times New Roman" w:cs="Times New Roman"/>
            <w:sz w:val="28"/>
            <w:szCs w:val="28"/>
            <w:vertAlign w:val="superscript"/>
            <w:lang w:val="en-US"/>
          </w:rPr>
          <w:t>[58]</w:t>
        </w:r>
      </w:hyperlink>
      <w:r w:rsidRPr="0068182D">
        <w:rPr>
          <w:rFonts w:ascii="Times New Roman" w:hAnsi="Times New Roman" w:cs="Times New Roman"/>
          <w:sz w:val="28"/>
          <w:szCs w:val="28"/>
          <w:lang w:val="en-US"/>
        </w:rPr>
        <w:t>assuming compulsory payments of employers for insurance pensions at a rate of 22% of employees’ remuneration plus voluntary payments up to 6% directed to savings pensions (0% at first year of employment, 1% at second year of employment and so on up to 6%). The reform is proposed to be started from 2018.</w:t>
      </w:r>
    </w:p>
    <w:p w:rsidR="004379E3" w:rsidRPr="0068182D" w:rsidRDefault="004379E3" w:rsidP="001608BE">
      <w:pPr>
        <w:shd w:val="clear" w:color="auto" w:fill="FFFFFF"/>
        <w:spacing w:after="0" w:line="240" w:lineRule="auto"/>
        <w:ind w:firstLine="567"/>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br/>
      </w:r>
      <w:r w:rsidRPr="0068182D">
        <w:rPr>
          <w:rFonts w:ascii="Times New Roman" w:hAnsi="Times New Roman" w:cs="Times New Roman"/>
          <w:b/>
          <w:bCs/>
          <w:sz w:val="28"/>
          <w:szCs w:val="28"/>
          <w:lang w:val="en-US"/>
        </w:rPr>
        <w:br/>
        <w:t>Social Insurance Fund of the Russian Federation and the Russian Compulsory Social Insurance System</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Web-site: http://fss.ru/</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Social Insurance Fund of the Russian Federation (Fond Socialnogo Strakhovaniya Rossiyskoy Federatsii, </w:t>
      </w:r>
      <w:r w:rsidRPr="0068182D">
        <w:rPr>
          <w:rFonts w:ascii="Times New Roman" w:hAnsi="Times New Roman" w:cs="Times New Roman"/>
          <w:sz w:val="28"/>
          <w:szCs w:val="28"/>
        </w:rPr>
        <w:t>Фонд</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Социального</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Страхования</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Российской</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Федерации</w:t>
      </w:r>
      <w:r w:rsidRPr="0068182D">
        <w:rPr>
          <w:rFonts w:ascii="Times New Roman" w:hAnsi="Times New Roman" w:cs="Times New Roman"/>
          <w:sz w:val="28"/>
          <w:szCs w:val="28"/>
          <w:lang w:val="en-US"/>
        </w:rPr>
        <w:t>) is the key administrator of the Russian </w:t>
      </w:r>
      <w:r w:rsidRPr="0068182D">
        <w:rPr>
          <w:rFonts w:ascii="Times New Roman" w:hAnsi="Times New Roman" w:cs="Times New Roman"/>
          <w:b/>
          <w:bCs/>
          <w:sz w:val="28"/>
          <w:szCs w:val="28"/>
          <w:lang w:val="en-US"/>
        </w:rPr>
        <w:t>compulsory social insurance system </w:t>
      </w:r>
      <w:r w:rsidRPr="0068182D">
        <w:rPr>
          <w:rFonts w:ascii="Times New Roman" w:hAnsi="Times New Roman" w:cs="Times New Roman"/>
          <w:sz w:val="28"/>
          <w:szCs w:val="28"/>
          <w:lang w:val="en-US"/>
        </w:rPr>
        <w:t>(except social pensions) that secures financial support to insured persons in cases of </w:t>
      </w:r>
      <w:r w:rsidRPr="0068182D">
        <w:rPr>
          <w:rFonts w:ascii="Times New Roman" w:hAnsi="Times New Roman" w:cs="Times New Roman"/>
          <w:b/>
          <w:bCs/>
          <w:sz w:val="28"/>
          <w:szCs w:val="28"/>
          <w:lang w:val="en-US"/>
        </w:rPr>
        <w:t>accidents at work and occupational deceases</w:t>
      </w:r>
      <w:r w:rsidRPr="0068182D">
        <w:rPr>
          <w:rFonts w:ascii="Times New Roman" w:hAnsi="Times New Roman" w:cs="Times New Roman"/>
          <w:sz w:val="28"/>
          <w:szCs w:val="28"/>
          <w:lang w:val="en-US"/>
        </w:rPr>
        <w:t>, as well as in cases of </w:t>
      </w:r>
      <w:r w:rsidRPr="0068182D">
        <w:rPr>
          <w:rFonts w:ascii="Times New Roman" w:hAnsi="Times New Roman" w:cs="Times New Roman"/>
          <w:b/>
          <w:bCs/>
          <w:sz w:val="28"/>
          <w:szCs w:val="28"/>
          <w:lang w:val="en-US"/>
        </w:rPr>
        <w:t>temporary disability and maternity</w:t>
      </w:r>
      <w:r w:rsidRPr="0068182D">
        <w:rPr>
          <w:rFonts w:ascii="Times New Roman" w:hAnsi="Times New Roman" w:cs="Times New Roman"/>
          <w:sz w:val="28"/>
          <w:szCs w:val="28"/>
          <w:lang w:val="en-US"/>
        </w:rPr>
        <w:t>. The Fund operates large network of branches and representative offices in the subjects of the Russian Federation and also operates own network of rehabilitation centers.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Fund provides the following </w:t>
      </w:r>
      <w:r w:rsidRPr="0068182D">
        <w:rPr>
          <w:rFonts w:ascii="Times New Roman" w:hAnsi="Times New Roman" w:cs="Times New Roman"/>
          <w:b/>
          <w:bCs/>
          <w:sz w:val="28"/>
          <w:szCs w:val="28"/>
          <w:lang w:val="en-US"/>
        </w:rPr>
        <w:t>social insurance coverage </w:t>
      </w:r>
      <w:r w:rsidRPr="0068182D">
        <w:rPr>
          <w:rFonts w:ascii="Times New Roman" w:hAnsi="Times New Roman" w:cs="Times New Roman"/>
          <w:sz w:val="28"/>
          <w:szCs w:val="28"/>
          <w:lang w:val="en-US"/>
        </w:rPr>
        <w:t>related to insurance accidents (except social pensions) as envisaged by Article 8 of the federal law #165-FZ “On Fundamentals of the Compulsory Social Insurance” dated July 16, 1999</w:t>
      </w:r>
      <w:hyperlink r:id="rId512" w:anchor="59" w:tooltip="Source: ConsultantPlus&#10;Date: 16.07.1999" w:history="1">
        <w:r w:rsidRPr="0068182D">
          <w:rPr>
            <w:rFonts w:ascii="Times New Roman" w:hAnsi="Times New Roman" w:cs="Times New Roman"/>
            <w:sz w:val="28"/>
            <w:szCs w:val="28"/>
            <w:vertAlign w:val="superscript"/>
            <w:lang w:val="en-US"/>
          </w:rPr>
          <w:t>[59]</w:t>
        </w:r>
      </w:hyperlink>
      <w:r w:rsidRPr="0068182D">
        <w:rPr>
          <w:rFonts w:ascii="Times New Roman" w:hAnsi="Times New Roman" w:cs="Times New Roman"/>
          <w:sz w:val="28"/>
          <w:szCs w:val="28"/>
          <w:lang w:val="en-US"/>
        </w:rPr>
        <w:t>:</w:t>
      </w:r>
    </w:p>
    <w:p w:rsidR="004379E3" w:rsidRPr="0068182D" w:rsidRDefault="004379E3" w:rsidP="000537F4">
      <w:pPr>
        <w:numPr>
          <w:ilvl w:val="0"/>
          <w:numId w:val="25"/>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Coverage of necessary medical treatment expenses to a medical organisation for medical services provided to an insured person (primarily due to accidents at work);</w:t>
      </w:r>
    </w:p>
    <w:p w:rsidR="004379E3" w:rsidRPr="0068182D" w:rsidRDefault="004379E3" w:rsidP="000537F4">
      <w:pPr>
        <w:numPr>
          <w:ilvl w:val="0"/>
          <w:numId w:val="25"/>
        </w:numPr>
        <w:shd w:val="clear" w:color="auto" w:fill="FFFFFF"/>
        <w:spacing w:after="0" w:line="240" w:lineRule="auto"/>
        <w:ind w:left="0" w:firstLine="567"/>
        <w:jc w:val="both"/>
        <w:rPr>
          <w:rFonts w:ascii="Times New Roman" w:hAnsi="Times New Roman" w:cs="Times New Roman"/>
          <w:sz w:val="28"/>
          <w:szCs w:val="28"/>
        </w:rPr>
      </w:pPr>
      <w:r w:rsidRPr="0068182D">
        <w:rPr>
          <w:rFonts w:ascii="Times New Roman" w:hAnsi="Times New Roman" w:cs="Times New Roman"/>
          <w:sz w:val="28"/>
          <w:szCs w:val="28"/>
        </w:rPr>
        <w:t>Temporary disability allowances;</w:t>
      </w:r>
    </w:p>
    <w:p w:rsidR="004379E3" w:rsidRPr="0068182D" w:rsidRDefault="004379E3" w:rsidP="000537F4">
      <w:pPr>
        <w:numPr>
          <w:ilvl w:val="0"/>
          <w:numId w:val="25"/>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Insurance payments due to accidents at work and occupational diseases (primarily one-off or monthly payments due to permanent disability or death), coverage of additional expenses for medical rehabilitation, sanatorium-and-spa treatment, social and professional rehabilitation;</w:t>
      </w:r>
    </w:p>
    <w:p w:rsidR="004379E3" w:rsidRPr="0068182D" w:rsidRDefault="004379E3" w:rsidP="000537F4">
      <w:pPr>
        <w:numPr>
          <w:ilvl w:val="0"/>
          <w:numId w:val="25"/>
        </w:numPr>
        <w:shd w:val="clear" w:color="auto" w:fill="FFFFFF"/>
        <w:spacing w:after="0" w:line="240" w:lineRule="auto"/>
        <w:ind w:left="0" w:firstLine="567"/>
        <w:jc w:val="both"/>
        <w:rPr>
          <w:rFonts w:ascii="Times New Roman" w:hAnsi="Times New Roman" w:cs="Times New Roman"/>
          <w:sz w:val="28"/>
          <w:szCs w:val="28"/>
        </w:rPr>
      </w:pPr>
      <w:r w:rsidRPr="0068182D">
        <w:rPr>
          <w:rFonts w:ascii="Times New Roman" w:hAnsi="Times New Roman" w:cs="Times New Roman"/>
          <w:sz w:val="28"/>
          <w:szCs w:val="28"/>
        </w:rPr>
        <w:t>Pregnancy and maternity benefits;</w:t>
      </w:r>
    </w:p>
    <w:p w:rsidR="004379E3" w:rsidRPr="0068182D" w:rsidRDefault="004379E3" w:rsidP="000537F4">
      <w:pPr>
        <w:numPr>
          <w:ilvl w:val="0"/>
          <w:numId w:val="25"/>
        </w:numPr>
        <w:shd w:val="clear" w:color="auto" w:fill="FFFFFF"/>
        <w:spacing w:after="0" w:line="240" w:lineRule="auto"/>
        <w:ind w:left="0" w:firstLine="567"/>
        <w:jc w:val="both"/>
        <w:rPr>
          <w:rFonts w:ascii="Times New Roman" w:hAnsi="Times New Roman" w:cs="Times New Roman"/>
          <w:sz w:val="28"/>
          <w:szCs w:val="28"/>
        </w:rPr>
      </w:pPr>
      <w:r w:rsidRPr="0068182D">
        <w:rPr>
          <w:rFonts w:ascii="Times New Roman" w:hAnsi="Times New Roman" w:cs="Times New Roman"/>
          <w:sz w:val="28"/>
          <w:szCs w:val="28"/>
        </w:rPr>
        <w:t>Monthly child benefits;</w:t>
      </w:r>
    </w:p>
    <w:p w:rsidR="004379E3" w:rsidRPr="0068182D" w:rsidRDefault="004379E3" w:rsidP="000537F4">
      <w:pPr>
        <w:numPr>
          <w:ilvl w:val="0"/>
          <w:numId w:val="25"/>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One-off payments to women who registered at medical organisations in the early pregnancy period;</w:t>
      </w:r>
    </w:p>
    <w:p w:rsidR="004379E3" w:rsidRPr="0068182D" w:rsidRDefault="004379E3" w:rsidP="000537F4">
      <w:pPr>
        <w:numPr>
          <w:ilvl w:val="0"/>
          <w:numId w:val="25"/>
        </w:numPr>
        <w:shd w:val="clear" w:color="auto" w:fill="FFFFFF"/>
        <w:spacing w:after="0" w:line="240" w:lineRule="auto"/>
        <w:ind w:left="0" w:firstLine="567"/>
        <w:jc w:val="both"/>
        <w:rPr>
          <w:rFonts w:ascii="Times New Roman" w:hAnsi="Times New Roman" w:cs="Times New Roman"/>
          <w:sz w:val="28"/>
          <w:szCs w:val="28"/>
        </w:rPr>
      </w:pPr>
      <w:r w:rsidRPr="0068182D">
        <w:rPr>
          <w:rFonts w:ascii="Times New Roman" w:hAnsi="Times New Roman" w:cs="Times New Roman"/>
          <w:sz w:val="28"/>
          <w:szCs w:val="28"/>
        </w:rPr>
        <w:t>One-off maternity payments;</w:t>
      </w:r>
    </w:p>
    <w:p w:rsidR="004379E3" w:rsidRPr="0068182D" w:rsidRDefault="004379E3" w:rsidP="000537F4">
      <w:pPr>
        <w:numPr>
          <w:ilvl w:val="0"/>
          <w:numId w:val="25"/>
        </w:numPr>
        <w:shd w:val="clear" w:color="auto" w:fill="FFFFFF"/>
        <w:spacing w:after="0" w:line="240" w:lineRule="auto"/>
        <w:ind w:left="0" w:firstLine="567"/>
        <w:jc w:val="both"/>
        <w:rPr>
          <w:rFonts w:ascii="Times New Roman" w:hAnsi="Times New Roman" w:cs="Times New Roman"/>
          <w:sz w:val="28"/>
          <w:szCs w:val="28"/>
        </w:rPr>
      </w:pPr>
      <w:r w:rsidRPr="0068182D">
        <w:rPr>
          <w:rFonts w:ascii="Times New Roman" w:hAnsi="Times New Roman" w:cs="Times New Roman"/>
          <w:sz w:val="28"/>
          <w:szCs w:val="28"/>
        </w:rPr>
        <w:t>Social payments for burial;</w:t>
      </w:r>
    </w:p>
    <w:p w:rsidR="004379E3" w:rsidRPr="0068182D" w:rsidRDefault="004379E3" w:rsidP="000537F4">
      <w:pPr>
        <w:numPr>
          <w:ilvl w:val="0"/>
          <w:numId w:val="25"/>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Other types of insurance coverage provided by specific federal laws (one-off payment for child adoption, child adoption benefits, allowances for additional days off on disabled child care).</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Social Insurance Fund is primarily formed by means of </w:t>
      </w:r>
      <w:r w:rsidRPr="0068182D">
        <w:rPr>
          <w:rFonts w:ascii="Times New Roman" w:hAnsi="Times New Roman" w:cs="Times New Roman"/>
          <w:b/>
          <w:bCs/>
          <w:sz w:val="28"/>
          <w:szCs w:val="28"/>
          <w:lang w:val="en-US"/>
        </w:rPr>
        <w:t>compulsory insurance payments </w:t>
      </w:r>
      <w:r w:rsidRPr="0068182D">
        <w:rPr>
          <w:rFonts w:ascii="Times New Roman" w:hAnsi="Times New Roman" w:cs="Times New Roman"/>
          <w:sz w:val="28"/>
          <w:szCs w:val="28"/>
          <w:lang w:val="en-US"/>
        </w:rPr>
        <w:t>by the Russian employers.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 of 2016, the typical payment of the most part of organisations for </w:t>
      </w:r>
      <w:r w:rsidRPr="0068182D">
        <w:rPr>
          <w:rFonts w:ascii="Times New Roman" w:hAnsi="Times New Roman" w:cs="Times New Roman"/>
          <w:b/>
          <w:bCs/>
          <w:sz w:val="28"/>
          <w:szCs w:val="28"/>
          <w:lang w:val="en-US"/>
        </w:rPr>
        <w:t>temporary disability and maternity insurance </w:t>
      </w:r>
      <w:r w:rsidRPr="0068182D">
        <w:rPr>
          <w:rFonts w:ascii="Times New Roman" w:hAnsi="Times New Roman" w:cs="Times New Roman"/>
          <w:sz w:val="28"/>
          <w:szCs w:val="28"/>
          <w:lang w:val="en-US"/>
        </w:rPr>
        <w:t>amounted to </w:t>
      </w:r>
      <w:r w:rsidRPr="0068182D">
        <w:rPr>
          <w:rFonts w:ascii="Times New Roman" w:hAnsi="Times New Roman" w:cs="Times New Roman"/>
          <w:b/>
          <w:bCs/>
          <w:sz w:val="28"/>
          <w:szCs w:val="28"/>
          <w:lang w:val="en-US"/>
        </w:rPr>
        <w:t>2.9% of aggregate remuneration paid by employers to employees </w:t>
      </w:r>
      <w:r w:rsidRPr="0068182D">
        <w:rPr>
          <w:rFonts w:ascii="Times New Roman" w:hAnsi="Times New Roman" w:cs="Times New Roman"/>
          <w:sz w:val="28"/>
          <w:szCs w:val="28"/>
          <w:lang w:val="en-US"/>
        </w:rPr>
        <w:t>(typically salary fund) in accordance with article 58.2 of the federal law #212-FZ</w:t>
      </w:r>
      <w:hyperlink r:id="rId513" w:anchor="60" w:tooltip="Source: ConsultantPlus&#10;Date: 24.07.2009" w:history="1">
        <w:r w:rsidRPr="0068182D">
          <w:rPr>
            <w:rFonts w:ascii="Times New Roman" w:hAnsi="Times New Roman" w:cs="Times New Roman"/>
            <w:sz w:val="28"/>
            <w:szCs w:val="28"/>
            <w:vertAlign w:val="superscript"/>
            <w:lang w:val="en-US"/>
          </w:rPr>
          <w:t>[60]</w:t>
        </w:r>
      </w:hyperlink>
      <w:r w:rsidRPr="0068182D">
        <w:rPr>
          <w:rFonts w:ascii="Times New Roman" w:hAnsi="Times New Roman" w:cs="Times New Roman"/>
          <w:sz w:val="28"/>
          <w:szCs w:val="28"/>
          <w:lang w:val="en-US"/>
        </w:rPr>
        <w:t>. The annual income of a person from which this sum is paid (payment base) has the upper limit, which amounted to RUR 718 000 in 2016 (RUR 670 000 in 2015). All income above this sum is not a subject to temporary disability and maternity insurance payment.</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addition, the employers shall also make </w:t>
      </w:r>
      <w:r w:rsidRPr="0068182D">
        <w:rPr>
          <w:rFonts w:ascii="Times New Roman" w:hAnsi="Times New Roman" w:cs="Times New Roman"/>
          <w:b/>
          <w:bCs/>
          <w:sz w:val="28"/>
          <w:szCs w:val="28"/>
          <w:lang w:val="en-US"/>
        </w:rPr>
        <w:t>compulsory insurance payments for accidents at work and occupational deceases </w:t>
      </w:r>
      <w:r w:rsidRPr="0068182D">
        <w:rPr>
          <w:rFonts w:ascii="Times New Roman" w:hAnsi="Times New Roman" w:cs="Times New Roman"/>
          <w:sz w:val="28"/>
          <w:szCs w:val="28"/>
          <w:lang w:val="en-US"/>
        </w:rPr>
        <w:t>in accordance with the federal law #125-FZ “On Compulsory Social Insurance of Accidents at Work and Occupational Deceases” dated July 24, 1998.</w:t>
      </w:r>
      <w:hyperlink r:id="rId514" w:anchor="61" w:tooltip="Source: ConsultantPlus&#10;Date: 24.07.1998" w:history="1">
        <w:r w:rsidRPr="0068182D">
          <w:rPr>
            <w:rFonts w:ascii="Times New Roman" w:hAnsi="Times New Roman" w:cs="Times New Roman"/>
            <w:sz w:val="28"/>
            <w:szCs w:val="28"/>
            <w:vertAlign w:val="superscript"/>
            <w:lang w:val="en-US"/>
          </w:rPr>
          <w:t>[61]</w:t>
        </w:r>
      </w:hyperlink>
      <w:r w:rsidRPr="0068182D">
        <w:rPr>
          <w:rFonts w:ascii="Times New Roman" w:hAnsi="Times New Roman" w:cs="Times New Roman"/>
          <w:sz w:val="28"/>
          <w:szCs w:val="28"/>
          <w:lang w:val="en-US"/>
        </w:rPr>
        <w:t> Those payments are calculated based on </w:t>
      </w:r>
      <w:r w:rsidRPr="0068182D">
        <w:rPr>
          <w:rFonts w:ascii="Times New Roman" w:hAnsi="Times New Roman" w:cs="Times New Roman"/>
          <w:b/>
          <w:bCs/>
          <w:sz w:val="28"/>
          <w:szCs w:val="28"/>
          <w:lang w:val="en-US"/>
        </w:rPr>
        <w:t>insurance tariffs </w:t>
      </w:r>
      <w:r w:rsidRPr="0068182D">
        <w:rPr>
          <w:rFonts w:ascii="Times New Roman" w:hAnsi="Times New Roman" w:cs="Times New Roman"/>
          <w:sz w:val="28"/>
          <w:szCs w:val="28"/>
          <w:lang w:val="en-US"/>
        </w:rPr>
        <w:t>elaborated in accordance with estimates of risks of specific professions and adopted each year by appropriate federal laws. For the year 2016 those tariffs varied from </w:t>
      </w:r>
      <w:r w:rsidRPr="0068182D">
        <w:rPr>
          <w:rFonts w:ascii="Times New Roman" w:hAnsi="Times New Roman" w:cs="Times New Roman"/>
          <w:b/>
          <w:bCs/>
          <w:sz w:val="28"/>
          <w:szCs w:val="28"/>
          <w:lang w:val="en-US"/>
        </w:rPr>
        <w:t>0.2% to 8.5% to aggregate remuneration paid by employers to employees </w:t>
      </w:r>
      <w:r w:rsidRPr="0068182D">
        <w:rPr>
          <w:rFonts w:ascii="Times New Roman" w:hAnsi="Times New Roman" w:cs="Times New Roman"/>
          <w:sz w:val="28"/>
          <w:szCs w:val="28"/>
          <w:lang w:val="en-US"/>
        </w:rPr>
        <w:t>in accordance with the federal law #362-FZ</w:t>
      </w:r>
      <w:hyperlink r:id="rId515" w:anchor="62" w:tooltip="Source: ConsultantPlus&#10;Date: 14.12.2015" w:history="1">
        <w:r w:rsidRPr="0068182D">
          <w:rPr>
            <w:rFonts w:ascii="Times New Roman" w:hAnsi="Times New Roman" w:cs="Times New Roman"/>
            <w:sz w:val="28"/>
            <w:szCs w:val="28"/>
            <w:vertAlign w:val="superscript"/>
            <w:lang w:val="en-US"/>
          </w:rPr>
          <w:t>[62]</w:t>
        </w:r>
      </w:hyperlink>
      <w:r w:rsidRPr="0068182D">
        <w:rPr>
          <w:rFonts w:ascii="Times New Roman" w:hAnsi="Times New Roman" w:cs="Times New Roman"/>
          <w:sz w:val="28"/>
          <w:szCs w:val="28"/>
          <w:lang w:val="en-US"/>
        </w:rPr>
        <w:t>.</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w:t>
      </w:r>
      <w:r w:rsidRPr="0068182D">
        <w:rPr>
          <w:rFonts w:ascii="Times New Roman" w:hAnsi="Times New Roman" w:cs="Times New Roman"/>
          <w:b/>
          <w:bCs/>
          <w:sz w:val="28"/>
          <w:szCs w:val="28"/>
          <w:lang w:val="en-US"/>
        </w:rPr>
        <w:t>planned key indicators of the budget </w:t>
      </w:r>
      <w:r w:rsidRPr="0068182D">
        <w:rPr>
          <w:rFonts w:ascii="Times New Roman" w:hAnsi="Times New Roman" w:cs="Times New Roman"/>
          <w:sz w:val="28"/>
          <w:szCs w:val="28"/>
          <w:lang w:val="en-US"/>
        </w:rPr>
        <w:t>of the Russian Social Insurance Fund for each year are stated in dedicated federal laws that are coordinated with appropriate laws on the federal budget. For the year 2016 that was the federal law #363-FZ “On the Budget of Social Insurance Fund of the Russian Federation for 2016” dated December 14, 2015.</w:t>
      </w:r>
      <w:hyperlink r:id="rId516" w:anchor="63" w:tooltip="Source: ConsultantPlus&#10;Date: 14.12.2015" w:history="1">
        <w:r w:rsidRPr="0068182D">
          <w:rPr>
            <w:rFonts w:ascii="Times New Roman" w:hAnsi="Times New Roman" w:cs="Times New Roman"/>
            <w:sz w:val="28"/>
            <w:szCs w:val="28"/>
            <w:vertAlign w:val="superscript"/>
            <w:lang w:val="en-US"/>
          </w:rPr>
          <w:t>[63]</w:t>
        </w:r>
      </w:hyperlink>
      <w:r w:rsidRPr="0068182D">
        <w:rPr>
          <w:rFonts w:ascii="Times New Roman" w:hAnsi="Times New Roman" w:cs="Times New Roman"/>
          <w:sz w:val="28"/>
          <w:szCs w:val="28"/>
          <w:lang w:val="en-US"/>
        </w:rPr>
        <w:t> The mentioned law also provides the list of the key administrators of revenues of the Fund, the list of the key administrators of sources of the Fund’s budget deficit coverage, the list of sources of internal financing of the Fund’s budget deficit and planned structure of the Fund’s budget outlays.</w:t>
      </w:r>
    </w:p>
    <w:p w:rsidR="004379E3" w:rsidRPr="0068182D" w:rsidRDefault="004379E3" w:rsidP="001608BE">
      <w:pPr>
        <w:shd w:val="clear" w:color="auto" w:fill="FFFFFF"/>
        <w:spacing w:after="0" w:line="240" w:lineRule="auto"/>
        <w:ind w:firstLine="567"/>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br/>
      </w:r>
      <w:r w:rsidRPr="0068182D">
        <w:rPr>
          <w:rFonts w:ascii="Times New Roman" w:hAnsi="Times New Roman" w:cs="Times New Roman"/>
          <w:b/>
          <w:bCs/>
          <w:sz w:val="28"/>
          <w:szCs w:val="28"/>
          <w:lang w:val="en-US"/>
        </w:rPr>
        <w:br/>
        <w:t>Federal Compulsory Medical Insurance Fund and the Russian Compulsory Medical Insurance System</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Web-site: http://www.ffoms.ru/</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Federal Compulsory Medical Insurance Fund (Federalniy Fond Obyazatelnogo Meditsinskogo Strakhovaniya, </w:t>
      </w:r>
      <w:r w:rsidRPr="0068182D">
        <w:rPr>
          <w:rFonts w:ascii="Times New Roman" w:hAnsi="Times New Roman" w:cs="Times New Roman"/>
          <w:sz w:val="28"/>
          <w:szCs w:val="28"/>
        </w:rPr>
        <w:t>Федеральный</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Фонд</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Обязательного</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Медицинского</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Страхования</w:t>
      </w:r>
      <w:r w:rsidRPr="0068182D">
        <w:rPr>
          <w:rFonts w:ascii="Times New Roman" w:hAnsi="Times New Roman" w:cs="Times New Roman"/>
          <w:sz w:val="28"/>
          <w:szCs w:val="28"/>
          <w:lang w:val="en-US"/>
        </w:rPr>
        <w:t>) is the key </w:t>
      </w:r>
      <w:r w:rsidRPr="0068182D">
        <w:rPr>
          <w:rFonts w:ascii="Times New Roman" w:hAnsi="Times New Roman" w:cs="Times New Roman"/>
          <w:b/>
          <w:bCs/>
          <w:sz w:val="28"/>
          <w:szCs w:val="28"/>
          <w:lang w:val="en-US"/>
        </w:rPr>
        <w:t>administrator of the Russian system of compulsory medical insurance </w:t>
      </w:r>
      <w:r w:rsidRPr="0068182D">
        <w:rPr>
          <w:rFonts w:ascii="Times New Roman" w:hAnsi="Times New Roman" w:cs="Times New Roman"/>
          <w:sz w:val="28"/>
          <w:szCs w:val="28"/>
          <w:lang w:val="en-US"/>
        </w:rPr>
        <w:t>that offers limited program of free-of-charge medical services to the Russian residents.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accordance with the federal law #326-FZ “On Compulsory Medical Insurance in the Russian Federation” dated November 29, 2010</w:t>
      </w:r>
      <w:hyperlink r:id="rId517" w:anchor="64" w:tooltip="Source: ConsultantPlus&#10;Date: 29.11.2010" w:history="1">
        <w:r w:rsidRPr="0068182D">
          <w:rPr>
            <w:rFonts w:ascii="Times New Roman" w:hAnsi="Times New Roman" w:cs="Times New Roman"/>
            <w:sz w:val="28"/>
            <w:szCs w:val="28"/>
            <w:vertAlign w:val="superscript"/>
            <w:lang w:val="en-US"/>
          </w:rPr>
          <w:t>[64]</w:t>
        </w:r>
      </w:hyperlink>
      <w:r w:rsidRPr="0068182D">
        <w:rPr>
          <w:rFonts w:ascii="Times New Roman" w:hAnsi="Times New Roman" w:cs="Times New Roman"/>
          <w:sz w:val="28"/>
          <w:szCs w:val="28"/>
          <w:lang w:val="en-US"/>
        </w:rPr>
        <w:t>, the compulsory medical insurance system in Russia relies upon the following </w:t>
      </w:r>
      <w:r w:rsidRPr="0068182D">
        <w:rPr>
          <w:rFonts w:ascii="Times New Roman" w:hAnsi="Times New Roman" w:cs="Times New Roman"/>
          <w:b/>
          <w:bCs/>
          <w:sz w:val="28"/>
          <w:szCs w:val="28"/>
          <w:lang w:val="en-US"/>
        </w:rPr>
        <w:t>programs</w:t>
      </w:r>
      <w:r w:rsidRPr="0068182D">
        <w:rPr>
          <w:rFonts w:ascii="Times New Roman" w:hAnsi="Times New Roman" w:cs="Times New Roman"/>
          <w:sz w:val="28"/>
          <w:szCs w:val="28"/>
          <w:lang w:val="en-US"/>
        </w:rPr>
        <w:t>:</w:t>
      </w:r>
    </w:p>
    <w:p w:rsidR="004379E3" w:rsidRPr="0068182D" w:rsidRDefault="004379E3" w:rsidP="000537F4">
      <w:pPr>
        <w:numPr>
          <w:ilvl w:val="0"/>
          <w:numId w:val="26"/>
        </w:numPr>
        <w:shd w:val="clear" w:color="auto" w:fill="FFFFFF"/>
        <w:spacing w:after="0" w:line="240" w:lineRule="auto"/>
        <w:ind w:left="0" w:firstLine="567"/>
        <w:jc w:val="both"/>
        <w:rPr>
          <w:rFonts w:ascii="Times New Roman" w:hAnsi="Times New Roman" w:cs="Times New Roman"/>
          <w:sz w:val="28"/>
          <w:szCs w:val="28"/>
        </w:rPr>
      </w:pPr>
      <w:r w:rsidRPr="0068182D">
        <w:rPr>
          <w:rFonts w:ascii="Times New Roman" w:hAnsi="Times New Roman" w:cs="Times New Roman"/>
          <w:b/>
          <w:bCs/>
          <w:sz w:val="28"/>
          <w:szCs w:val="28"/>
          <w:lang w:val="en-US"/>
        </w:rPr>
        <w:t>Core program </w:t>
      </w:r>
      <w:r w:rsidRPr="0068182D">
        <w:rPr>
          <w:rFonts w:ascii="Times New Roman" w:hAnsi="Times New Roman" w:cs="Times New Roman"/>
          <w:sz w:val="28"/>
          <w:szCs w:val="28"/>
          <w:lang w:val="en-US"/>
        </w:rPr>
        <w:t xml:space="preserve">(bazovaya programma, </w:t>
      </w:r>
      <w:r w:rsidRPr="0068182D">
        <w:rPr>
          <w:rFonts w:ascii="Times New Roman" w:hAnsi="Times New Roman" w:cs="Times New Roman"/>
          <w:sz w:val="28"/>
          <w:szCs w:val="28"/>
        </w:rPr>
        <w:t>базовая</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программа</w:t>
      </w:r>
      <w:r w:rsidRPr="0068182D">
        <w:rPr>
          <w:rFonts w:ascii="Times New Roman" w:hAnsi="Times New Roman" w:cs="Times New Roman"/>
          <w:sz w:val="28"/>
          <w:szCs w:val="28"/>
          <w:lang w:val="en-US"/>
        </w:rPr>
        <w:t>) is envisaged by article 35 of the law and comprises core medical services with free-of-charge provision guaranteed by the federal state. The Government </w:t>
      </w:r>
      <w:r w:rsidRPr="0068182D">
        <w:rPr>
          <w:rFonts w:ascii="Times New Roman" w:hAnsi="Times New Roman" w:cs="Times New Roman"/>
          <w:b/>
          <w:bCs/>
          <w:sz w:val="28"/>
          <w:szCs w:val="28"/>
          <w:lang w:val="en-US"/>
        </w:rPr>
        <w:t>each year </w:t>
      </w:r>
      <w:r w:rsidRPr="0068182D">
        <w:rPr>
          <w:rFonts w:ascii="Times New Roman" w:hAnsi="Times New Roman" w:cs="Times New Roman"/>
          <w:sz w:val="28"/>
          <w:szCs w:val="28"/>
          <w:lang w:val="en-US"/>
        </w:rPr>
        <w:t xml:space="preserve">adopts the programs of State Guarantees of Provision of the Free Medical Aid to Citizens that contain exact list of services and other conditions related to provision of free of charge medical aid. </w:t>
      </w:r>
      <w:r w:rsidRPr="0068182D">
        <w:rPr>
          <w:rFonts w:ascii="Times New Roman" w:hAnsi="Times New Roman" w:cs="Times New Roman"/>
          <w:sz w:val="28"/>
          <w:szCs w:val="28"/>
        </w:rPr>
        <w:t>The Program for 2016 was adopted on December 19, 2015.</w:t>
      </w:r>
      <w:hyperlink r:id="rId518" w:anchor="65" w:tooltip="Source: government.ru&#10;Date: 19.12.2015" w:history="1">
        <w:r w:rsidRPr="0068182D">
          <w:rPr>
            <w:rFonts w:ascii="Times New Roman" w:hAnsi="Times New Roman" w:cs="Times New Roman"/>
            <w:sz w:val="28"/>
            <w:szCs w:val="28"/>
            <w:vertAlign w:val="superscript"/>
          </w:rPr>
          <w:t>[65]</w:t>
        </w:r>
      </w:hyperlink>
    </w:p>
    <w:p w:rsidR="004379E3" w:rsidRPr="0068182D" w:rsidRDefault="004379E3" w:rsidP="000537F4">
      <w:pPr>
        <w:numPr>
          <w:ilvl w:val="0"/>
          <w:numId w:val="26"/>
        </w:numPr>
        <w:shd w:val="clear" w:color="auto" w:fill="FFFFFF"/>
        <w:spacing w:after="0" w:line="240" w:lineRule="auto"/>
        <w:ind w:left="0" w:firstLine="567"/>
        <w:jc w:val="both"/>
        <w:rPr>
          <w:rFonts w:ascii="Times New Roman" w:hAnsi="Times New Roman" w:cs="Times New Roman"/>
          <w:sz w:val="28"/>
          <w:szCs w:val="28"/>
          <w:lang w:val="en-US"/>
        </w:rPr>
      </w:pPr>
      <w:r w:rsidRPr="0068182D">
        <w:rPr>
          <w:rFonts w:ascii="Times New Roman" w:hAnsi="Times New Roman" w:cs="Times New Roman"/>
          <w:b/>
          <w:bCs/>
          <w:sz w:val="28"/>
          <w:szCs w:val="28"/>
          <w:lang w:val="en-US"/>
        </w:rPr>
        <w:t>Territorial program </w:t>
      </w:r>
      <w:r w:rsidRPr="0068182D">
        <w:rPr>
          <w:rFonts w:ascii="Times New Roman" w:hAnsi="Times New Roman" w:cs="Times New Roman"/>
          <w:sz w:val="28"/>
          <w:szCs w:val="28"/>
          <w:lang w:val="en-US"/>
        </w:rPr>
        <w:t xml:space="preserve">(territorialnaya programma, </w:t>
      </w:r>
      <w:r w:rsidRPr="0068182D">
        <w:rPr>
          <w:rFonts w:ascii="Times New Roman" w:hAnsi="Times New Roman" w:cs="Times New Roman"/>
          <w:sz w:val="28"/>
          <w:szCs w:val="28"/>
        </w:rPr>
        <w:t>территориальная</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программа</w:t>
      </w:r>
      <w:r w:rsidRPr="0068182D">
        <w:rPr>
          <w:rFonts w:ascii="Times New Roman" w:hAnsi="Times New Roman" w:cs="Times New Roman"/>
          <w:sz w:val="28"/>
          <w:szCs w:val="28"/>
          <w:lang w:val="en-US"/>
        </w:rPr>
        <w:t>) is envisaged by article 36 of the law and is provided in accordance with specific legislation of appropriate subject of the Federation. Territorial programs are elaborated based on the core program and offer an extended list of free-of-charge medical services.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Federal Compulsory Medical Insurance Fund is primarily formed by means of </w:t>
      </w:r>
      <w:r w:rsidRPr="0068182D">
        <w:rPr>
          <w:rFonts w:ascii="Times New Roman" w:hAnsi="Times New Roman" w:cs="Times New Roman"/>
          <w:b/>
          <w:bCs/>
          <w:sz w:val="28"/>
          <w:szCs w:val="28"/>
          <w:lang w:val="en-US"/>
        </w:rPr>
        <w:t>compulsory insurance payments </w:t>
      </w:r>
      <w:r w:rsidRPr="0068182D">
        <w:rPr>
          <w:rFonts w:ascii="Times New Roman" w:hAnsi="Times New Roman" w:cs="Times New Roman"/>
          <w:sz w:val="28"/>
          <w:szCs w:val="28"/>
          <w:lang w:val="en-US"/>
        </w:rPr>
        <w:t>by the Russian employers (organisations). As of 2016, the typical payment of the most part of organisations amounted to </w:t>
      </w:r>
      <w:r w:rsidRPr="0068182D">
        <w:rPr>
          <w:rFonts w:ascii="Times New Roman" w:hAnsi="Times New Roman" w:cs="Times New Roman"/>
          <w:b/>
          <w:bCs/>
          <w:sz w:val="28"/>
          <w:szCs w:val="28"/>
          <w:lang w:val="en-US"/>
        </w:rPr>
        <w:t>5.1% of the salary fund </w:t>
      </w:r>
      <w:r w:rsidRPr="0068182D">
        <w:rPr>
          <w:rFonts w:ascii="Times New Roman" w:hAnsi="Times New Roman" w:cs="Times New Roman"/>
          <w:sz w:val="28"/>
          <w:szCs w:val="28"/>
          <w:lang w:val="en-US"/>
        </w:rPr>
        <w:t>in accordance with article 12 of the federal law #212-FZ</w:t>
      </w:r>
      <w:hyperlink r:id="rId519" w:anchor="66" w:tooltip="Source: ConsultantPlus Date: 24.07.2009" w:history="1">
        <w:r w:rsidRPr="0068182D">
          <w:rPr>
            <w:rFonts w:ascii="Times New Roman" w:hAnsi="Times New Roman" w:cs="Times New Roman"/>
            <w:sz w:val="28"/>
            <w:szCs w:val="28"/>
            <w:vertAlign w:val="superscript"/>
            <w:lang w:val="en-US"/>
          </w:rPr>
          <w:t>[66]</w:t>
        </w:r>
      </w:hyperlink>
      <w:r w:rsidRPr="0068182D">
        <w:rPr>
          <w:rFonts w:ascii="Times New Roman" w:hAnsi="Times New Roman" w:cs="Times New Roman"/>
          <w:sz w:val="28"/>
          <w:szCs w:val="28"/>
          <w:lang w:val="en-US"/>
        </w:rPr>
        <w:t>.</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There are also sums reserved within the </w:t>
      </w:r>
      <w:r w:rsidRPr="0068182D">
        <w:rPr>
          <w:rFonts w:ascii="Times New Roman" w:hAnsi="Times New Roman" w:cs="Times New Roman"/>
          <w:b/>
          <w:bCs/>
          <w:sz w:val="28"/>
          <w:szCs w:val="28"/>
          <w:lang w:val="en-US"/>
        </w:rPr>
        <w:t>budgets of subjects of the Federation </w:t>
      </w:r>
      <w:r w:rsidRPr="0068182D">
        <w:rPr>
          <w:rFonts w:ascii="Times New Roman" w:hAnsi="Times New Roman" w:cs="Times New Roman"/>
          <w:sz w:val="28"/>
          <w:szCs w:val="28"/>
          <w:lang w:val="en-US"/>
        </w:rPr>
        <w:t>for </w:t>
      </w:r>
      <w:r w:rsidRPr="0068182D">
        <w:rPr>
          <w:rFonts w:ascii="Times New Roman" w:hAnsi="Times New Roman" w:cs="Times New Roman"/>
          <w:b/>
          <w:bCs/>
          <w:sz w:val="28"/>
          <w:szCs w:val="28"/>
          <w:lang w:val="en-US"/>
        </w:rPr>
        <w:t>compulsory medical insurance of non-working people </w:t>
      </w:r>
      <w:r w:rsidRPr="0068182D">
        <w:rPr>
          <w:rFonts w:ascii="Times New Roman" w:hAnsi="Times New Roman" w:cs="Times New Roman"/>
          <w:sz w:val="28"/>
          <w:szCs w:val="28"/>
          <w:lang w:val="en-US"/>
        </w:rPr>
        <w:t>as envisaged by article 23 of the federal law #326-FZ</w:t>
      </w:r>
      <w:hyperlink r:id="rId520" w:anchor="67" w:tooltip="Source: ConsultantPlus&#10;Date: 29.11.2010" w:history="1">
        <w:r w:rsidRPr="0068182D">
          <w:rPr>
            <w:rFonts w:ascii="Times New Roman" w:hAnsi="Times New Roman" w:cs="Times New Roman"/>
            <w:sz w:val="28"/>
            <w:szCs w:val="28"/>
            <w:vertAlign w:val="superscript"/>
            <w:lang w:val="en-US"/>
          </w:rPr>
          <w:t>[67]</w:t>
        </w:r>
      </w:hyperlink>
      <w:r w:rsidRPr="0068182D">
        <w:rPr>
          <w:rFonts w:ascii="Times New Roman" w:hAnsi="Times New Roman" w:cs="Times New Roman"/>
          <w:sz w:val="28"/>
          <w:szCs w:val="28"/>
          <w:lang w:val="en-US"/>
        </w:rPr>
        <w:t>. Those sums are transferred on monthly basis to the Federal Compulsory Medical Insurance Fund in accordance with article 24 of the mentioned law.</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Revenues of Federal Compulsory Medical Insurance Fund are </w:t>
      </w:r>
      <w:r w:rsidRPr="0068182D">
        <w:rPr>
          <w:rFonts w:ascii="Times New Roman" w:hAnsi="Times New Roman" w:cs="Times New Roman"/>
          <w:b/>
          <w:bCs/>
          <w:sz w:val="28"/>
          <w:szCs w:val="28"/>
          <w:lang w:val="en-US"/>
        </w:rPr>
        <w:t>distributed </w:t>
      </w:r>
      <w:r w:rsidRPr="0068182D">
        <w:rPr>
          <w:rFonts w:ascii="Times New Roman" w:hAnsi="Times New Roman" w:cs="Times New Roman"/>
          <w:sz w:val="28"/>
          <w:szCs w:val="28"/>
          <w:lang w:val="en-US"/>
        </w:rPr>
        <w:t>then between Territorial Funds of Compulsory Medical Insurance by means of </w:t>
      </w:r>
      <w:r w:rsidRPr="0068182D">
        <w:rPr>
          <w:rFonts w:ascii="Times New Roman" w:hAnsi="Times New Roman" w:cs="Times New Roman"/>
          <w:b/>
          <w:bCs/>
          <w:sz w:val="28"/>
          <w:szCs w:val="28"/>
          <w:lang w:val="en-US"/>
        </w:rPr>
        <w:t>subventions </w:t>
      </w:r>
      <w:r w:rsidRPr="0068182D">
        <w:rPr>
          <w:rFonts w:ascii="Times New Roman" w:hAnsi="Times New Roman" w:cs="Times New Roman"/>
          <w:sz w:val="28"/>
          <w:szCs w:val="28"/>
          <w:lang w:val="en-US"/>
        </w:rPr>
        <w:t>in accordance with Resolution of the Russian Government #462 dated May 5, 2012</w:t>
      </w:r>
      <w:hyperlink r:id="rId521" w:anchor="68" w:tooltip="Source: 1Prime&#10;Date: 05.05.2012" w:history="1">
        <w:r w:rsidRPr="0068182D">
          <w:rPr>
            <w:rFonts w:ascii="Times New Roman" w:hAnsi="Times New Roman" w:cs="Times New Roman"/>
            <w:sz w:val="28"/>
            <w:szCs w:val="28"/>
            <w:vertAlign w:val="superscript"/>
            <w:lang w:val="en-US"/>
          </w:rPr>
          <w:t>[68]</w:t>
        </w:r>
      </w:hyperlink>
      <w:r w:rsidRPr="0068182D">
        <w:rPr>
          <w:rFonts w:ascii="Times New Roman" w:hAnsi="Times New Roman" w:cs="Times New Roman"/>
          <w:sz w:val="28"/>
          <w:szCs w:val="28"/>
          <w:lang w:val="en-US"/>
        </w:rPr>
        <w:t>.</w:t>
      </w:r>
    </w:p>
    <w:p w:rsidR="004379E3" w:rsidRPr="0068182D" w:rsidRDefault="004379E3" w:rsidP="001608BE">
      <w:pPr>
        <w:shd w:val="clear" w:color="auto" w:fill="FFFFFF"/>
        <w:spacing w:after="0" w:line="240" w:lineRule="auto"/>
        <w:ind w:firstLine="567"/>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br/>
        <w:t>Formation and Primary Distribution of Funds Within the Russian Compulsory Medical Insurance System</w:t>
      </w:r>
    </w:p>
    <w:p w:rsidR="004379E3" w:rsidRPr="0068182D" w:rsidRDefault="004379E3" w:rsidP="00C40532">
      <w:pPr>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5948680" cy="2011680"/>
            <wp:effectExtent l="19050" t="0" r="0" b="0"/>
            <wp:docPr id="22" name="Рисунок 22" descr="http://www.factosphere.com/data/pubfinance/budget/pic/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factosphere.com/data/pubfinance/budget/pic/31@1.png"/>
                    <pic:cNvPicPr>
                      <a:picLocks noChangeAspect="1" noChangeArrowheads="1"/>
                    </pic:cNvPicPr>
                  </pic:nvPicPr>
                  <pic:blipFill>
                    <a:blip r:embed="rId522" cstate="print"/>
                    <a:srcRect/>
                    <a:stretch>
                      <a:fillRect/>
                    </a:stretch>
                  </pic:blipFill>
                  <pic:spPr bwMode="auto">
                    <a:xfrm>
                      <a:off x="0" y="0"/>
                      <a:ext cx="5948680" cy="2011680"/>
                    </a:xfrm>
                    <a:prstGeom prst="rect">
                      <a:avLst/>
                    </a:prstGeom>
                    <a:noFill/>
                    <a:ln w="9525">
                      <a:noFill/>
                      <a:miter lim="800000"/>
                      <a:headEnd/>
                      <a:tailEnd/>
                    </a:ln>
                  </pic:spPr>
                </pic:pic>
              </a:graphicData>
            </a:graphic>
          </wp:inline>
        </w:drawing>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Source: compilation of factosphere.com based on corresponding regulations and legislative acts.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w:t>
      </w:r>
      <w:r w:rsidRPr="0068182D">
        <w:rPr>
          <w:rFonts w:ascii="Times New Roman" w:hAnsi="Times New Roman" w:cs="Times New Roman"/>
          <w:b/>
          <w:bCs/>
          <w:sz w:val="28"/>
          <w:szCs w:val="28"/>
          <w:lang w:val="en-US"/>
        </w:rPr>
        <w:t>planned key indicators of the budget </w:t>
      </w:r>
      <w:r w:rsidRPr="0068182D">
        <w:rPr>
          <w:rFonts w:ascii="Times New Roman" w:hAnsi="Times New Roman" w:cs="Times New Roman"/>
          <w:sz w:val="28"/>
          <w:szCs w:val="28"/>
          <w:lang w:val="en-US"/>
        </w:rPr>
        <w:t>of the Federal Compulsory Medical Insurance Fund for each year are stated in dedicated federal laws that are coordinated with appropriate laws on the federal budget. For the year 2016 that was the federal law #365-FZ “On the Budget of Federal Compulsory Medical Insurance Fund for 2016” dated December 14, 2015.</w:t>
      </w:r>
      <w:hyperlink r:id="rId523" w:anchor="69" w:tooltip="Source: ConsultantPlus&#10;Date: 14.12.2015" w:history="1">
        <w:r w:rsidRPr="0068182D">
          <w:rPr>
            <w:rFonts w:ascii="Times New Roman" w:hAnsi="Times New Roman" w:cs="Times New Roman"/>
            <w:sz w:val="28"/>
            <w:szCs w:val="28"/>
            <w:vertAlign w:val="superscript"/>
            <w:lang w:val="en-US"/>
          </w:rPr>
          <w:t>[69]</w:t>
        </w:r>
      </w:hyperlink>
      <w:r w:rsidRPr="0068182D">
        <w:rPr>
          <w:rFonts w:ascii="Times New Roman" w:hAnsi="Times New Roman" w:cs="Times New Roman"/>
          <w:sz w:val="28"/>
          <w:szCs w:val="28"/>
          <w:lang w:val="en-US"/>
        </w:rPr>
        <w:t> The mentioned law also provides the list of the key administrators of revenues of the Fund, the list of the key administrators of sources of the Fund’s budget deficit coverage, the list of sources of internal financing of the Fund’s budget deficit, planned structure of the Fund’s budget outlays and planned distribution of subventions between territorial funds.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It is noticeable that the </w:t>
      </w:r>
      <w:r w:rsidRPr="0068182D">
        <w:rPr>
          <w:rFonts w:ascii="Times New Roman" w:hAnsi="Times New Roman" w:cs="Times New Roman"/>
          <w:b/>
          <w:bCs/>
          <w:sz w:val="28"/>
          <w:szCs w:val="28"/>
          <w:lang w:val="en-US"/>
        </w:rPr>
        <w:t>administration of the compulsory insurance payments </w:t>
      </w:r>
      <w:r w:rsidRPr="0068182D">
        <w:rPr>
          <w:rFonts w:ascii="Times New Roman" w:hAnsi="Times New Roman" w:cs="Times New Roman"/>
          <w:sz w:val="28"/>
          <w:szCs w:val="28"/>
          <w:lang w:val="en-US"/>
        </w:rPr>
        <w:t>to the Federal Compulsory Medical Insurance Fund is carried out primarily by </w:t>
      </w:r>
      <w:r w:rsidRPr="0068182D">
        <w:rPr>
          <w:rFonts w:ascii="Times New Roman" w:hAnsi="Times New Roman" w:cs="Times New Roman"/>
          <w:b/>
          <w:bCs/>
          <w:sz w:val="28"/>
          <w:szCs w:val="28"/>
          <w:lang w:val="en-US"/>
        </w:rPr>
        <w:t>the Pension Fund of the Russian Federation </w:t>
      </w:r>
      <w:r w:rsidRPr="0068182D">
        <w:rPr>
          <w:rFonts w:ascii="Times New Roman" w:hAnsi="Times New Roman" w:cs="Times New Roman"/>
          <w:sz w:val="28"/>
          <w:szCs w:val="28"/>
          <w:lang w:val="en-US"/>
        </w:rPr>
        <w:t>(until 2017, while the Federal Tax Service will be the major body responsible for administration afterwards). For that purpose employers provide combined reporting on pension insurance payments and medical insurance payments to the Pension Fund of Russia on quarterly basis.</w:t>
      </w:r>
    </w:p>
    <w:p w:rsidR="004379E3" w:rsidRPr="0068182D" w:rsidRDefault="004379E3" w:rsidP="001608BE">
      <w:pPr>
        <w:shd w:val="clear" w:color="auto" w:fill="FFFFFF"/>
        <w:spacing w:after="0" w:line="240" w:lineRule="auto"/>
        <w:ind w:firstLine="567"/>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br/>
      </w:r>
      <w:r w:rsidRPr="0068182D">
        <w:rPr>
          <w:rFonts w:ascii="Times New Roman" w:hAnsi="Times New Roman" w:cs="Times New Roman"/>
          <w:b/>
          <w:bCs/>
          <w:sz w:val="28"/>
          <w:szCs w:val="28"/>
          <w:lang w:val="en-US"/>
        </w:rPr>
        <w:br/>
        <w:t>Territorial Funds of Compulsory Medical Insurance</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Territorial Funds of Compulsory Medical Insurance (single: Territorialniy Fond Obyazatelnogo Meditsinskogo Strakhovaniya, </w:t>
      </w:r>
      <w:r w:rsidRPr="0068182D">
        <w:rPr>
          <w:rFonts w:ascii="Times New Roman" w:hAnsi="Times New Roman" w:cs="Times New Roman"/>
          <w:sz w:val="28"/>
          <w:szCs w:val="28"/>
        </w:rPr>
        <w:t>Территориальный</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Фонд</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Обязательного</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Медицинского</w:t>
      </w:r>
      <w:r w:rsidRPr="0068182D">
        <w:rPr>
          <w:rFonts w:ascii="Times New Roman" w:hAnsi="Times New Roman" w:cs="Times New Roman"/>
          <w:sz w:val="28"/>
          <w:szCs w:val="28"/>
          <w:lang w:val="en-US"/>
        </w:rPr>
        <w:t xml:space="preserve"> </w:t>
      </w:r>
      <w:r w:rsidRPr="0068182D">
        <w:rPr>
          <w:rFonts w:ascii="Times New Roman" w:hAnsi="Times New Roman" w:cs="Times New Roman"/>
          <w:sz w:val="28"/>
          <w:szCs w:val="28"/>
        </w:rPr>
        <w:t>Страхования</w:t>
      </w:r>
      <w:r w:rsidRPr="0068182D">
        <w:rPr>
          <w:rFonts w:ascii="Times New Roman" w:hAnsi="Times New Roman" w:cs="Times New Roman"/>
          <w:sz w:val="28"/>
          <w:szCs w:val="28"/>
          <w:lang w:val="en-US"/>
        </w:rPr>
        <w:t>) are </w:t>
      </w:r>
      <w:r w:rsidRPr="0068182D">
        <w:rPr>
          <w:rFonts w:ascii="Times New Roman" w:hAnsi="Times New Roman" w:cs="Times New Roman"/>
          <w:b/>
          <w:bCs/>
          <w:sz w:val="28"/>
          <w:szCs w:val="28"/>
          <w:lang w:val="en-US"/>
        </w:rPr>
        <w:t>non-commercial organisations established by subjects of the Federation </w:t>
      </w:r>
      <w:r w:rsidRPr="0068182D">
        <w:rPr>
          <w:rFonts w:ascii="Times New Roman" w:hAnsi="Times New Roman" w:cs="Times New Roman"/>
          <w:sz w:val="28"/>
          <w:szCs w:val="28"/>
          <w:lang w:val="en-US"/>
        </w:rPr>
        <w:t>that are responsible for </w:t>
      </w:r>
      <w:r w:rsidRPr="0068182D">
        <w:rPr>
          <w:rFonts w:ascii="Times New Roman" w:hAnsi="Times New Roman" w:cs="Times New Roman"/>
          <w:b/>
          <w:bCs/>
          <w:sz w:val="28"/>
          <w:szCs w:val="28"/>
          <w:lang w:val="en-US"/>
        </w:rPr>
        <w:t>implementation of compulsory medical insurance policy within specific Russian regions</w:t>
      </w:r>
      <w:r w:rsidRPr="0068182D">
        <w:rPr>
          <w:rFonts w:ascii="Times New Roman" w:hAnsi="Times New Roman" w:cs="Times New Roman"/>
          <w:sz w:val="28"/>
          <w:szCs w:val="28"/>
          <w:lang w:val="en-US"/>
        </w:rPr>
        <w:t>. For that purpose Territorial Funds receive subventions from the Federal Compulsory Medical Insurance Fund and secure provision of proper medical services to insured persons.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w:t>
      </w:r>
      <w:r w:rsidRPr="0068182D">
        <w:rPr>
          <w:rFonts w:ascii="Times New Roman" w:hAnsi="Times New Roman" w:cs="Times New Roman"/>
          <w:b/>
          <w:bCs/>
          <w:sz w:val="28"/>
          <w:szCs w:val="28"/>
          <w:lang w:val="en-US"/>
        </w:rPr>
        <w:t>annual budgets </w:t>
      </w:r>
      <w:r w:rsidRPr="0068182D">
        <w:rPr>
          <w:rFonts w:ascii="Times New Roman" w:hAnsi="Times New Roman" w:cs="Times New Roman"/>
          <w:sz w:val="28"/>
          <w:szCs w:val="28"/>
          <w:lang w:val="en-US"/>
        </w:rPr>
        <w:t>of Territorial Funds are </w:t>
      </w:r>
      <w:r w:rsidRPr="0068182D">
        <w:rPr>
          <w:rFonts w:ascii="Times New Roman" w:hAnsi="Times New Roman" w:cs="Times New Roman"/>
          <w:b/>
          <w:bCs/>
          <w:sz w:val="28"/>
          <w:szCs w:val="28"/>
          <w:lang w:val="en-US"/>
        </w:rPr>
        <w:t>approved by the legislative power bodies of appropriate subjects of Federation</w:t>
      </w:r>
      <w:r w:rsidRPr="0068182D">
        <w:rPr>
          <w:rFonts w:ascii="Times New Roman" w:hAnsi="Times New Roman" w:cs="Times New Roman"/>
          <w:sz w:val="28"/>
          <w:szCs w:val="28"/>
          <w:lang w:val="en-US"/>
        </w:rPr>
        <w:t>. For instance, the territorial fund budget of the city of St. Petersburg for 2016 was approved by the law of St. Petersburg “On the Budget of Territorial Fund of Compulsory Medical Insurance of St. Petersburg for 2016 and the Planning Period of 2017 and 2018” dated November 25, 2015.</w:t>
      </w:r>
      <w:hyperlink r:id="rId524" w:anchor="70" w:tooltip="Source: Digital Fund of the Legal Documents and Documentation on Technical Standards&#10;Date: 25.11.2015" w:history="1">
        <w:r w:rsidRPr="0068182D">
          <w:rPr>
            <w:rFonts w:ascii="Times New Roman" w:hAnsi="Times New Roman" w:cs="Times New Roman"/>
            <w:sz w:val="28"/>
            <w:szCs w:val="28"/>
            <w:vertAlign w:val="superscript"/>
            <w:lang w:val="en-US"/>
          </w:rPr>
          <w:t>[70]</w:t>
        </w:r>
      </w:hyperlink>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 of the mid-2016, there were 86 territorial funds of compulsory medical insurance operating in Russia (one fund for each subject of the Federation and additional fund in the town of Baikonur hosting the Russian space launch base leased from Kazakhstan).</w:t>
      </w:r>
      <w:hyperlink r:id="rId525" w:anchor="71" w:tooltip="Source: Federal Compulsory Medical Insurance Fund&#10;Date: 12.08.2016" w:history="1">
        <w:r w:rsidRPr="0068182D">
          <w:rPr>
            <w:rFonts w:ascii="Times New Roman" w:hAnsi="Times New Roman" w:cs="Times New Roman"/>
            <w:sz w:val="28"/>
            <w:szCs w:val="28"/>
            <w:vertAlign w:val="superscript"/>
            <w:lang w:val="en-US"/>
          </w:rPr>
          <w:t>[71]</w:t>
        </w:r>
      </w:hyperlink>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Territorial Funds operate in accordance with article 13 of the federal law #326-FZ</w:t>
      </w:r>
      <w:hyperlink r:id="rId526" w:anchor="72" w:tooltip="Source: ConsultantPlus&#10;Date: 29.11.2010" w:history="1">
        <w:r w:rsidRPr="0068182D">
          <w:rPr>
            <w:rFonts w:ascii="Times New Roman" w:hAnsi="Times New Roman" w:cs="Times New Roman"/>
            <w:sz w:val="28"/>
            <w:szCs w:val="28"/>
            <w:vertAlign w:val="superscript"/>
            <w:lang w:val="en-US"/>
          </w:rPr>
          <w:t>[72]</w:t>
        </w:r>
      </w:hyperlink>
      <w:r w:rsidRPr="0068182D">
        <w:rPr>
          <w:rFonts w:ascii="Times New Roman" w:hAnsi="Times New Roman" w:cs="Times New Roman"/>
          <w:sz w:val="28"/>
          <w:szCs w:val="28"/>
          <w:lang w:val="en-US"/>
        </w:rPr>
        <w:t>, while the </w:t>
      </w:r>
      <w:r w:rsidRPr="0068182D">
        <w:rPr>
          <w:rFonts w:ascii="Times New Roman" w:hAnsi="Times New Roman" w:cs="Times New Roman"/>
          <w:b/>
          <w:bCs/>
          <w:sz w:val="28"/>
          <w:szCs w:val="28"/>
          <w:lang w:val="en-US"/>
        </w:rPr>
        <w:t>exact distribution of subventions between territorial funds </w:t>
      </w:r>
      <w:r w:rsidRPr="0068182D">
        <w:rPr>
          <w:rFonts w:ascii="Times New Roman" w:hAnsi="Times New Roman" w:cs="Times New Roman"/>
          <w:sz w:val="28"/>
          <w:szCs w:val="28"/>
          <w:lang w:val="en-US"/>
        </w:rPr>
        <w:t>can be found in appendices to annually adopted laws on the budget of the Federal Compulsory Medical Insurance Fund (for 2016: the federal law #365-FZ “On the Budget of Federal Compulsory Medical Insurance Fund for 2016” dated December 14, 2015.</w:t>
      </w:r>
      <w:hyperlink r:id="rId527" w:anchor="73" w:tooltip="Source: ConsultantPlus&#10;Date: 14.12.2015" w:history="1">
        <w:r w:rsidRPr="0068182D">
          <w:rPr>
            <w:rFonts w:ascii="Times New Roman" w:hAnsi="Times New Roman" w:cs="Times New Roman"/>
            <w:sz w:val="28"/>
            <w:szCs w:val="28"/>
            <w:vertAlign w:val="superscript"/>
            <w:lang w:val="en-US"/>
          </w:rPr>
          <w:t>[73]</w:t>
        </w:r>
      </w:hyperlink>
      <w:r w:rsidRPr="0068182D">
        <w:rPr>
          <w:rFonts w:ascii="Times New Roman" w:hAnsi="Times New Roman" w:cs="Times New Roman"/>
          <w:sz w:val="28"/>
          <w:szCs w:val="28"/>
          <w:lang w:val="en-US"/>
        </w:rPr>
        <w:t>).</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addition to the Territorial Funds, the Russian compulsory medical insurance system is implemented at regional level with participation of licensed </w:t>
      </w:r>
      <w:r w:rsidRPr="0068182D">
        <w:rPr>
          <w:rFonts w:ascii="Times New Roman" w:hAnsi="Times New Roman" w:cs="Times New Roman"/>
          <w:b/>
          <w:bCs/>
          <w:sz w:val="28"/>
          <w:szCs w:val="28"/>
          <w:lang w:val="en-US"/>
        </w:rPr>
        <w:t>medical insurance organisations </w:t>
      </w:r>
      <w:r w:rsidRPr="0068182D">
        <w:rPr>
          <w:rFonts w:ascii="Times New Roman" w:hAnsi="Times New Roman" w:cs="Times New Roman"/>
          <w:sz w:val="28"/>
          <w:szCs w:val="28"/>
          <w:lang w:val="en-US"/>
        </w:rPr>
        <w:t>that are authorized to issue compulsory insurance policies to private persons (operate according to article 14 of the federal law #326-FZ</w:t>
      </w:r>
      <w:hyperlink r:id="rId528" w:anchor="74" w:tooltip="Source: ConsultantPlus&#10;Date: 29.11.2010" w:history="1">
        <w:r w:rsidRPr="0068182D">
          <w:rPr>
            <w:rFonts w:ascii="Times New Roman" w:hAnsi="Times New Roman" w:cs="Times New Roman"/>
            <w:sz w:val="28"/>
            <w:szCs w:val="28"/>
            <w:vertAlign w:val="superscript"/>
            <w:lang w:val="en-US"/>
          </w:rPr>
          <w:t>[74]</w:t>
        </w:r>
      </w:hyperlink>
      <w:r w:rsidRPr="0068182D">
        <w:rPr>
          <w:rFonts w:ascii="Times New Roman" w:hAnsi="Times New Roman" w:cs="Times New Roman"/>
          <w:sz w:val="28"/>
          <w:szCs w:val="28"/>
          <w:lang w:val="en-US"/>
        </w:rPr>
        <w:t>) and also licensed </w:t>
      </w:r>
      <w:r w:rsidRPr="0068182D">
        <w:rPr>
          <w:rFonts w:ascii="Times New Roman" w:hAnsi="Times New Roman" w:cs="Times New Roman"/>
          <w:b/>
          <w:bCs/>
          <w:sz w:val="28"/>
          <w:szCs w:val="28"/>
          <w:lang w:val="en-US"/>
        </w:rPr>
        <w:t>medical organisations </w:t>
      </w:r>
      <w:r w:rsidRPr="0068182D">
        <w:rPr>
          <w:rFonts w:ascii="Times New Roman" w:hAnsi="Times New Roman" w:cs="Times New Roman"/>
          <w:sz w:val="28"/>
          <w:szCs w:val="28"/>
          <w:lang w:val="en-US"/>
        </w:rPr>
        <w:t>that render medical services (operate according to article 15 of the federal law #326-FZ</w:t>
      </w:r>
      <w:hyperlink r:id="rId529" w:anchor="75" w:tooltip="Source: ConsultantPlus&#10;Date: 29.11.2010" w:history="1">
        <w:r w:rsidRPr="0068182D">
          <w:rPr>
            <w:rFonts w:ascii="Times New Roman" w:hAnsi="Times New Roman" w:cs="Times New Roman"/>
            <w:sz w:val="28"/>
            <w:szCs w:val="28"/>
            <w:vertAlign w:val="superscript"/>
            <w:lang w:val="en-US"/>
          </w:rPr>
          <w:t>[75]</w:t>
        </w:r>
      </w:hyperlink>
      <w:r w:rsidRPr="0068182D">
        <w:rPr>
          <w:rFonts w:ascii="Times New Roman" w:hAnsi="Times New Roman" w:cs="Times New Roman"/>
          <w:sz w:val="28"/>
          <w:szCs w:val="28"/>
          <w:lang w:val="en-US"/>
        </w:rPr>
        <w:t>).</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 of the mid-2016, the Russian register of medical insurance organisations comprised totally 324 insurance companies</w:t>
      </w:r>
      <w:hyperlink r:id="rId530" w:anchor="76" w:tooltip="Source: Federal Compulsory Medical Insurance Fund&#10;Date: 16.08.2016" w:history="1">
        <w:r w:rsidRPr="0068182D">
          <w:rPr>
            <w:rFonts w:ascii="Times New Roman" w:hAnsi="Times New Roman" w:cs="Times New Roman"/>
            <w:sz w:val="28"/>
            <w:szCs w:val="28"/>
            <w:vertAlign w:val="superscript"/>
            <w:lang w:val="en-US"/>
          </w:rPr>
          <w:t>[76]</w:t>
        </w:r>
      </w:hyperlink>
      <w:r w:rsidRPr="0068182D">
        <w:rPr>
          <w:rFonts w:ascii="Times New Roman" w:hAnsi="Times New Roman" w:cs="Times New Roman"/>
          <w:sz w:val="28"/>
          <w:szCs w:val="28"/>
          <w:lang w:val="en-US"/>
        </w:rPr>
        <w:t>, while the register of medical organisations comprised 9 717 medical services providers</w:t>
      </w:r>
      <w:hyperlink r:id="rId531" w:anchor="77" w:tooltip="Source: Federal Compulsory Medical Insurance Fund&#10;Date: 16.08.2016" w:history="1">
        <w:r w:rsidRPr="0068182D">
          <w:rPr>
            <w:rFonts w:ascii="Times New Roman" w:hAnsi="Times New Roman" w:cs="Times New Roman"/>
            <w:sz w:val="28"/>
            <w:szCs w:val="28"/>
            <w:vertAlign w:val="superscript"/>
            <w:lang w:val="en-US"/>
          </w:rPr>
          <w:t>[77]</w:t>
        </w:r>
      </w:hyperlink>
      <w:r w:rsidRPr="0068182D">
        <w:rPr>
          <w:rFonts w:ascii="Times New Roman" w:hAnsi="Times New Roman" w:cs="Times New Roman"/>
          <w:sz w:val="28"/>
          <w:szCs w:val="28"/>
          <w:lang w:val="en-US"/>
        </w:rPr>
        <w:t>.</w:t>
      </w:r>
    </w:p>
    <w:p w:rsidR="004379E3" w:rsidRPr="0068182D" w:rsidRDefault="004379E3" w:rsidP="001608BE">
      <w:pPr>
        <w:shd w:val="clear" w:color="auto" w:fill="FFFFFF"/>
        <w:spacing w:after="0" w:line="240" w:lineRule="auto"/>
        <w:ind w:firstLine="567"/>
        <w:jc w:val="both"/>
        <w:rPr>
          <w:rFonts w:ascii="Times New Roman" w:hAnsi="Times New Roman" w:cs="Times New Roman"/>
          <w:b/>
          <w:bCs/>
          <w:sz w:val="28"/>
          <w:szCs w:val="28"/>
          <w:lang w:val="en-US"/>
        </w:rPr>
      </w:pPr>
      <w:r w:rsidRPr="0068182D">
        <w:rPr>
          <w:rFonts w:ascii="Times New Roman" w:hAnsi="Times New Roman" w:cs="Times New Roman"/>
          <w:b/>
          <w:bCs/>
          <w:sz w:val="28"/>
          <w:szCs w:val="28"/>
          <w:lang w:val="en-US"/>
        </w:rPr>
        <w:br/>
        <w:t>Relations Between Participants of the Russian Compulsory Medical Insurance System</w:t>
      </w:r>
    </w:p>
    <w:p w:rsidR="004379E3" w:rsidRPr="0068182D" w:rsidRDefault="004379E3" w:rsidP="001608BE">
      <w:pPr>
        <w:spacing w:after="0" w:line="240" w:lineRule="auto"/>
        <w:ind w:firstLine="567"/>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5948680" cy="2818765"/>
            <wp:effectExtent l="19050" t="0" r="0" b="0"/>
            <wp:docPr id="23" name="Рисунок 23" descr="http://www.factosphere.com/data/pubfinance/budget/pic/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factosphere.com/data/pubfinance/budget/pic/32@1.png"/>
                    <pic:cNvPicPr>
                      <a:picLocks noChangeAspect="1" noChangeArrowheads="1"/>
                    </pic:cNvPicPr>
                  </pic:nvPicPr>
                  <pic:blipFill>
                    <a:blip r:embed="rId532" cstate="print"/>
                    <a:srcRect/>
                    <a:stretch>
                      <a:fillRect/>
                    </a:stretch>
                  </pic:blipFill>
                  <pic:spPr bwMode="auto">
                    <a:xfrm>
                      <a:off x="0" y="0"/>
                      <a:ext cx="5948680" cy="2818765"/>
                    </a:xfrm>
                    <a:prstGeom prst="rect">
                      <a:avLst/>
                    </a:prstGeom>
                    <a:noFill/>
                    <a:ln w="9525">
                      <a:noFill/>
                      <a:miter lim="800000"/>
                      <a:headEnd/>
                      <a:tailEnd/>
                    </a:ln>
                  </pic:spPr>
                </pic:pic>
              </a:graphicData>
            </a:graphic>
          </wp:inline>
        </w:drawing>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Source: compilation of factosphere.com based on corresponding regulations and legislative acts.</w:t>
      </w:r>
    </w:p>
    <w:p w:rsidR="004379E3" w:rsidRPr="0068182D" w:rsidRDefault="004379E3" w:rsidP="001608BE">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Russian compulsory medical insurance system secures the </w:t>
      </w:r>
      <w:r w:rsidRPr="0068182D">
        <w:rPr>
          <w:rFonts w:ascii="Times New Roman" w:hAnsi="Times New Roman" w:cs="Times New Roman"/>
          <w:b/>
          <w:bCs/>
          <w:sz w:val="28"/>
          <w:szCs w:val="28"/>
          <w:lang w:val="en-US"/>
        </w:rPr>
        <w:t>right of a person to choose a medical insurance organisation, a medical organisation and also specific doctor </w:t>
      </w:r>
      <w:r w:rsidRPr="0068182D">
        <w:rPr>
          <w:rFonts w:ascii="Times New Roman" w:hAnsi="Times New Roman" w:cs="Times New Roman"/>
          <w:sz w:val="28"/>
          <w:szCs w:val="28"/>
          <w:lang w:val="en-US"/>
        </w:rPr>
        <w:t>within a medical organisation. A medical insurance organisation provides a </w:t>
      </w:r>
      <w:r w:rsidRPr="0068182D">
        <w:rPr>
          <w:rFonts w:ascii="Times New Roman" w:hAnsi="Times New Roman" w:cs="Times New Roman"/>
          <w:b/>
          <w:bCs/>
          <w:sz w:val="28"/>
          <w:szCs w:val="28"/>
          <w:lang w:val="en-US"/>
        </w:rPr>
        <w:t>list of medical organisations </w:t>
      </w:r>
      <w:r w:rsidRPr="0068182D">
        <w:rPr>
          <w:rFonts w:ascii="Times New Roman" w:hAnsi="Times New Roman" w:cs="Times New Roman"/>
          <w:sz w:val="28"/>
          <w:szCs w:val="28"/>
          <w:lang w:val="en-US"/>
        </w:rPr>
        <w:t>it works with to (potential) insurance policy holders, which typically embraces all authorized medical organisations operating in appropriate subject of the Federation.</w:t>
      </w:r>
    </w:p>
    <w:p w:rsidR="004379E3" w:rsidRPr="0068182D" w:rsidRDefault="004379E3" w:rsidP="001608BE">
      <w:pPr>
        <w:shd w:val="clear" w:color="auto" w:fill="FFFFFF"/>
        <w:spacing w:after="0" w:line="240" w:lineRule="auto"/>
        <w:ind w:firstLine="567"/>
        <w:jc w:val="both"/>
        <w:rPr>
          <w:rStyle w:val="hps"/>
          <w:rFonts w:ascii="Times New Roman" w:hAnsi="Times New Roman" w:cs="Times New Roman"/>
          <w:sz w:val="28"/>
          <w:szCs w:val="28"/>
          <w:lang w:val="en-US"/>
        </w:rPr>
      </w:pPr>
    </w:p>
    <w:p w:rsidR="004379E3" w:rsidRPr="0068182D" w:rsidRDefault="004379E3" w:rsidP="001608BE">
      <w:pPr>
        <w:shd w:val="clear" w:color="auto" w:fill="FFFFFF"/>
        <w:spacing w:after="0" w:line="240" w:lineRule="auto"/>
        <w:ind w:firstLine="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1. The organization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local finances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value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local budgets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the social</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infrastructure of the region</w:t>
      </w:r>
      <w:r w:rsidRPr="0068182D">
        <w:rPr>
          <w:rFonts w:ascii="Times New Roman" w:hAnsi="Times New Roman" w:cs="Times New Roman"/>
          <w:b/>
          <w:sz w:val="28"/>
          <w:szCs w:val="28"/>
          <w:lang w:val="en-US"/>
        </w:rPr>
        <w:t>.</w:t>
      </w:r>
    </w:p>
    <w:p w:rsidR="004379E3" w:rsidRPr="0068182D" w:rsidRDefault="004379E3" w:rsidP="001608BE">
      <w:pPr>
        <w:spacing w:after="0" w:line="240" w:lineRule="auto"/>
        <w:ind w:firstLine="567"/>
        <w:jc w:val="both"/>
        <w:rPr>
          <w:rFonts w:ascii="Times New Roman" w:hAnsi="Times New Roman" w:cs="Times New Roman"/>
          <w:sz w:val="28"/>
          <w:szCs w:val="28"/>
          <w:lang w:val="en-US"/>
        </w:rPr>
      </w:pPr>
    </w:p>
    <w:p w:rsidR="004379E3" w:rsidRPr="0068182D" w:rsidRDefault="004379E3" w:rsidP="001608BE">
      <w:pPr>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b/>
          <w:sz w:val="28"/>
          <w:szCs w:val="28"/>
          <w:lang w:val="en-US"/>
        </w:rPr>
        <w:t xml:space="preserve">Local Government Structure. </w:t>
      </w:r>
      <w:r w:rsidRPr="0068182D">
        <w:rPr>
          <w:rFonts w:ascii="Times New Roman" w:hAnsi="Times New Roman" w:cs="Times New Roman"/>
          <w:sz w:val="28"/>
          <w:szCs w:val="28"/>
          <w:lang w:val="en-US"/>
        </w:rPr>
        <w:t>Ambiguities in the federal legislation caused heated disputes on the exact territoxrial definition of local self-government, which could be decided either by federal or provincial law. There are two tiers of sub-regional govern</w:t>
      </w:r>
      <w:r w:rsidRPr="0068182D">
        <w:rPr>
          <w:rFonts w:ascii="Times New Roman" w:hAnsi="Times New Roman" w:cs="Times New Roman"/>
          <w:sz w:val="28"/>
          <w:szCs w:val="28"/>
          <w:lang w:val="en-US"/>
        </w:rPr>
        <w:softHyphen/>
        <w:t>ment in Russia. The upper tier consists of cities and districts</w:t>
      </w:r>
      <w:r w:rsidRPr="0068182D">
        <w:rPr>
          <w:rFonts w:ascii="Times New Roman" w:hAnsi="Times New Roman" w:cs="Times New Roman"/>
          <w:i/>
          <w:iCs/>
          <w:sz w:val="28"/>
          <w:szCs w:val="28"/>
          <w:lang w:val="en-US"/>
        </w:rPr>
        <w:t>.</w:t>
      </w:r>
      <w:r w:rsidRPr="0068182D">
        <w:rPr>
          <w:rFonts w:ascii="Times New Roman" w:hAnsi="Times New Roman" w:cs="Times New Roman"/>
          <w:sz w:val="28"/>
          <w:szCs w:val="28"/>
          <w:lang w:val="en-US"/>
        </w:rPr>
        <w:t xml:space="preserve"> The lower tier comprises towns, settlements</w:t>
      </w:r>
      <w:r w:rsidRPr="0068182D">
        <w:rPr>
          <w:rFonts w:ascii="Times New Roman" w:hAnsi="Times New Roman" w:cs="Times New Roman"/>
          <w:i/>
          <w:iCs/>
          <w:sz w:val="28"/>
          <w:szCs w:val="28"/>
          <w:lang w:val="en-US"/>
        </w:rPr>
        <w:t>,</w:t>
      </w:r>
      <w:r w:rsidRPr="0068182D">
        <w:rPr>
          <w:rFonts w:ascii="Times New Roman" w:hAnsi="Times New Roman" w:cs="Times New Roman"/>
          <w:sz w:val="28"/>
          <w:szCs w:val="28"/>
          <w:lang w:val="en-US"/>
        </w:rPr>
        <w:t xml:space="preserve"> and villages</w:t>
      </w:r>
      <w:r w:rsidRPr="0068182D">
        <w:rPr>
          <w:rFonts w:ascii="Times New Roman" w:hAnsi="Times New Roman" w:cs="Times New Roman"/>
          <w:i/>
          <w:iCs/>
          <w:sz w:val="28"/>
          <w:szCs w:val="28"/>
          <w:lang w:val="en-US"/>
        </w:rPr>
        <w:t>.</w:t>
      </w:r>
      <w:r w:rsidRPr="0068182D">
        <w:rPr>
          <w:rFonts w:ascii="Times New Roman" w:hAnsi="Times New Roman" w:cs="Times New Roman"/>
          <w:sz w:val="28"/>
          <w:szCs w:val="28"/>
          <w:lang w:val="en-US"/>
        </w:rPr>
        <w:t xml:space="preserve"> In some regions the upper tier was settled as a basic unit of the local self-government. It has provided a level of democratic authority to which former central state functions can be conveniently and incrementally</w:t>
      </w:r>
      <w:r w:rsidRPr="0068182D">
        <w:rPr>
          <w:rFonts w:ascii="Times New Roman" w:hAnsi="Times New Roman" w:cs="Times New Roman"/>
          <w:noProof/>
          <w:sz w:val="28"/>
          <w:szCs w:val="28"/>
          <w:lang w:val="en-US"/>
        </w:rPr>
        <w:t xml:space="preserve"> </w:t>
      </w:r>
      <w:r w:rsidRPr="0068182D">
        <w:rPr>
          <w:rFonts w:ascii="Times New Roman" w:hAnsi="Times New Roman" w:cs="Times New Roman"/>
          <w:sz w:val="28"/>
          <w:szCs w:val="28"/>
          <w:lang w:val="en-US"/>
        </w:rPr>
        <w:t>transferred. In other regions only the lower tier was granted the status of local self-government. The upper one was striped of self-government and reorga</w:t>
      </w:r>
      <w:r w:rsidRPr="0068182D">
        <w:rPr>
          <w:rFonts w:ascii="Times New Roman" w:hAnsi="Times New Roman" w:cs="Times New Roman"/>
          <w:sz w:val="28"/>
          <w:szCs w:val="28"/>
          <w:lang w:val="en-US"/>
        </w:rPr>
        <w:softHyphen/>
        <w:t>nized as branches of regional administration with appointed chief executives and no elected councils. In this case democratically elected local authorities cannot satisfactorily fulfill at least some of the functions.</w:t>
      </w:r>
    </w:p>
    <w:p w:rsidR="004379E3" w:rsidRPr="0068182D" w:rsidRDefault="004379E3" w:rsidP="001608BE">
      <w:pPr>
        <w:autoSpaceDE w:val="0"/>
        <w:autoSpaceDN w:val="0"/>
        <w:adjustRightInd w:val="0"/>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b/>
          <w:sz w:val="28"/>
          <w:szCs w:val="28"/>
          <w:lang w:val="en-US"/>
        </w:rPr>
        <w:t xml:space="preserve">Range and Distribution of Activities. </w:t>
      </w:r>
      <w:r w:rsidRPr="0068182D">
        <w:rPr>
          <w:rFonts w:ascii="Times New Roman" w:hAnsi="Times New Roman" w:cs="Times New Roman"/>
          <w:sz w:val="28"/>
          <w:szCs w:val="28"/>
          <w:lang w:val="en-US"/>
        </w:rPr>
        <w:t xml:space="preserve">Russian municipalities as everywhere have the basic responsibility for local planning, local roads, public transport, cultural matters and local libraries, recreational facilities, public utilities including water, drainage, gas, electricity and refuse collection and disposal. In Russia their functions also include housing, public transport, retail trade and services, medical care, education and social policy. They undertake some economic development activities. For this they could rely, among other things, on the use and disposal of natural resources (land, soil, water, forests, flora and fauna), real estate and local budgets.  They are also (according to the principle of general competence, common in most of Western Europe), free in starting new activities in the public interest not already allocated. So the listing of functions is never complete. </w:t>
      </w:r>
    </w:p>
    <w:p w:rsidR="004379E3" w:rsidRPr="0068182D" w:rsidRDefault="004379E3" w:rsidP="001608BE">
      <w:pPr>
        <w:autoSpaceDE w:val="0"/>
        <w:autoSpaceDN w:val="0"/>
        <w:adjustRightInd w:val="0"/>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b/>
          <w:sz w:val="28"/>
          <w:szCs w:val="28"/>
          <w:lang w:val="en-US"/>
        </w:rPr>
        <w:t xml:space="preserve">Electoral Arrangements. </w:t>
      </w:r>
      <w:r w:rsidRPr="0068182D">
        <w:rPr>
          <w:rFonts w:ascii="Times New Roman" w:hAnsi="Times New Roman" w:cs="Times New Roman"/>
          <w:sz w:val="28"/>
          <w:szCs w:val="28"/>
          <w:lang w:val="en-US"/>
        </w:rPr>
        <w:t>On the local level Russia has in general “winner take all” system, with highly individualized competitive electioneering. But as we see in large cities there is a certain tendency to move from a non-partisan political pattern or loose party organization and lack of consistent party doctrine to European tradition, with its strong party organization in all local authorities of any size and party relationships radiating up from local politics to regional and national levels. The dominating pattern is a ward system where districts, to conform with the “one-man one-vote principle”, must have as equal a number of voters as reasonably possible. At-large elections for mayors provide an executive with an “all-city” perspective. Local election turn-out differs greatly and depend on the local political situation. In any case it is always lower than at national elections.</w:t>
      </w:r>
    </w:p>
    <w:p w:rsidR="004379E3" w:rsidRPr="0068182D" w:rsidRDefault="004379E3" w:rsidP="001608BE">
      <w:pPr>
        <w:autoSpaceDE w:val="0"/>
        <w:autoSpaceDN w:val="0"/>
        <w:adjustRightInd w:val="0"/>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b/>
          <w:sz w:val="28"/>
          <w:szCs w:val="28"/>
          <w:lang w:val="en-US"/>
        </w:rPr>
        <w:t>Internal Organization.</w:t>
      </w:r>
      <w:r w:rsidRPr="0068182D">
        <w:rPr>
          <w:rFonts w:ascii="Times New Roman" w:hAnsi="Times New Roman" w:cs="Times New Roman"/>
          <w:sz w:val="28"/>
          <w:szCs w:val="28"/>
          <w:lang w:val="en-US"/>
        </w:rPr>
        <w:t xml:space="preserve">There is a clear emphasis on executive power and one-man management, outlining the obligatory election of representative bodies. The most typical model is that of strong mayor vs. weak council. </w:t>
      </w:r>
    </w:p>
    <w:p w:rsidR="004379E3" w:rsidRPr="0068182D" w:rsidRDefault="004379E3" w:rsidP="001608BE">
      <w:pPr>
        <w:autoSpaceDE w:val="0"/>
        <w:autoSpaceDN w:val="0"/>
        <w:adjustRightInd w:val="0"/>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resurgence of respresentative power by the Law passed in July 1990 did not please many of the leading figures in the democrat camp. This despite the fact that at that time such leaders were almost without exception in representative roles: Boris Yeltsin (then chairman of the Russian Supreme Soviet or parliament), Anatoly Sobchak (then chairman of Leningrad City Council), and Gavrlil Popov (then chairman of Moscow City Council). </w:t>
      </w:r>
    </w:p>
    <w:p w:rsidR="004379E3" w:rsidRPr="0068182D" w:rsidRDefault="004379E3" w:rsidP="001608BE">
      <w:pPr>
        <w:autoSpaceDE w:val="0"/>
        <w:autoSpaceDN w:val="0"/>
        <w:adjustRightInd w:val="0"/>
        <w:spacing w:after="0" w:line="240" w:lineRule="auto"/>
        <w:ind w:firstLine="567"/>
        <w:jc w:val="both"/>
        <w:rPr>
          <w:rFonts w:ascii="Times New Roman" w:hAnsi="Times New Roman" w:cs="Times New Roman"/>
          <w:sz w:val="28"/>
          <w:szCs w:val="28"/>
          <w:lang w:val="en-GB"/>
        </w:rPr>
      </w:pPr>
      <w:r w:rsidRPr="0068182D">
        <w:rPr>
          <w:rFonts w:ascii="Times New Roman" w:hAnsi="Times New Roman" w:cs="Times New Roman"/>
          <w:sz w:val="28"/>
          <w:szCs w:val="28"/>
          <w:lang w:val="en-US"/>
        </w:rPr>
        <w:t>There were several reasons why during the whole period of reforms democratic leaders were all strongly in</w:t>
      </w:r>
      <w:r w:rsidRPr="0068182D">
        <w:rPr>
          <w:rFonts w:ascii="Times New Roman" w:hAnsi="Times New Roman" w:cs="Times New Roman"/>
          <w:sz w:val="28"/>
          <w:szCs w:val="28"/>
          <w:lang w:val="en-GB"/>
        </w:rPr>
        <w:t xml:space="preserve"> favour</w:t>
      </w:r>
      <w:r w:rsidRPr="0068182D">
        <w:rPr>
          <w:rFonts w:ascii="Times New Roman" w:hAnsi="Times New Roman" w:cs="Times New Roman"/>
          <w:sz w:val="28"/>
          <w:szCs w:val="28"/>
          <w:lang w:val="en-US"/>
        </w:rPr>
        <w:t xml:space="preserve"> of the clear subordination of the representative power to the executive power at all levels, with the provision that the leaders of the executive were directly elected, or subordinate to someone who was directly elected. Firstly, they were disgusted by the chaos and</w:t>
      </w:r>
      <w:r w:rsidRPr="0068182D">
        <w:rPr>
          <w:rFonts w:ascii="Times New Roman" w:hAnsi="Times New Roman" w:cs="Times New Roman"/>
          <w:sz w:val="28"/>
          <w:szCs w:val="28"/>
          <w:lang w:val="en-GB"/>
        </w:rPr>
        <w:t xml:space="preserve"> ineffectiveness</w:t>
      </w:r>
      <w:r w:rsidRPr="0068182D">
        <w:rPr>
          <w:rFonts w:ascii="Times New Roman" w:hAnsi="Times New Roman" w:cs="Times New Roman"/>
          <w:sz w:val="28"/>
          <w:szCs w:val="28"/>
          <w:lang w:val="en-US"/>
        </w:rPr>
        <w:t xml:space="preserve"> of the councils. </w:t>
      </w:r>
      <w:r w:rsidRPr="0068182D">
        <w:rPr>
          <w:rFonts w:ascii="Times New Roman" w:hAnsi="Times New Roman" w:cs="Times New Roman"/>
          <w:sz w:val="28"/>
          <w:szCs w:val="28"/>
          <w:lang w:val="en-GB"/>
        </w:rPr>
        <w:t xml:space="preserve">Secondly, leading democrats were interested in carrying out sweeping reforms in a short space of time. To achieve this they needed some of the centralized machinery of state. The emphasis on executive power was also justified by the way in which the conservative forces in some areas were beginning to hide behind “democratic” slogans, using their local mandates to avoid implementing central government's directives.  Thirdly, there is a view that representative democracy, if introduced too early in the reform process, necessarily impedes progress. Given that economic reforms create more losers than gainers in the short, and even the medium-term, representative democracy on the Western model cannot function. </w:t>
      </w:r>
    </w:p>
    <w:p w:rsidR="004379E3" w:rsidRPr="0068182D" w:rsidRDefault="004379E3" w:rsidP="001608BE">
      <w:pPr>
        <w:autoSpaceDE w:val="0"/>
        <w:autoSpaceDN w:val="0"/>
        <w:adjustRightInd w:val="0"/>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GB"/>
        </w:rPr>
        <w:t>As already mentioned, the vast majority of local authorities have the strong mayor system. They are usually elected at large by universal secret ballot and serve for a four year term. Whether election is direct by the whole electorate of a local authority or indirect by a council for a term of office, they give a focus of accountability matched with equivalent powers, a strong political representation of an authority and a role which attracts politicians of the highest ability who may move from such posts to the highest offices in regional or even central government (in case of large cities). Although the idea of the head of administration, elected or otherwise, has its advantages, it has been less successful that some might have expected.</w:t>
      </w:r>
      <w:r w:rsidRPr="0068182D">
        <w:rPr>
          <w:rFonts w:ascii="Times New Roman" w:hAnsi="Times New Roman" w:cs="Times New Roman"/>
          <w:noProof/>
          <w:sz w:val="28"/>
          <w:szCs w:val="28"/>
          <w:lang w:val="en-GB"/>
        </w:rPr>
        <w:t xml:space="preserve"> Nоt</w:t>
      </w:r>
      <w:r w:rsidRPr="0068182D">
        <w:rPr>
          <w:rFonts w:ascii="Times New Roman" w:hAnsi="Times New Roman" w:cs="Times New Roman"/>
          <w:sz w:val="28"/>
          <w:szCs w:val="28"/>
          <w:lang w:val="en-GB"/>
        </w:rPr>
        <w:t xml:space="preserve"> least it</w:t>
      </w:r>
      <w:r w:rsidRPr="0068182D">
        <w:rPr>
          <w:rFonts w:ascii="Times New Roman" w:hAnsi="Times New Roman" w:cs="Times New Roman"/>
          <w:sz w:val="28"/>
          <w:szCs w:val="28"/>
          <w:lang w:val="en-US"/>
        </w:rPr>
        <w:t xml:space="preserve"> repeats the old Russian formula of one person having complete power at a given level.  The new councils, with</w:t>
      </w:r>
      <w:r w:rsidRPr="0068182D">
        <w:rPr>
          <w:rFonts w:ascii="Times New Roman" w:hAnsi="Times New Roman" w:cs="Times New Roman"/>
          <w:noProof/>
          <w:sz w:val="28"/>
          <w:szCs w:val="28"/>
          <w:lang w:val="en-US"/>
        </w:rPr>
        <w:t xml:space="preserve"> 25</w:t>
      </w:r>
      <w:r w:rsidRPr="0068182D">
        <w:rPr>
          <w:rFonts w:ascii="Times New Roman" w:hAnsi="Times New Roman" w:cs="Times New Roman"/>
          <w:sz w:val="28"/>
          <w:szCs w:val="28"/>
          <w:lang w:val="en-US"/>
        </w:rPr>
        <w:t xml:space="preserve"> or fewer members, are much smaller than the old local Soviets, which often had more than</w:t>
      </w:r>
      <w:r w:rsidRPr="0068182D">
        <w:rPr>
          <w:rFonts w:ascii="Times New Roman" w:hAnsi="Times New Roman" w:cs="Times New Roman"/>
          <w:noProof/>
          <w:sz w:val="28"/>
          <w:szCs w:val="28"/>
          <w:lang w:val="en-US"/>
        </w:rPr>
        <w:t xml:space="preserve"> 200 </w:t>
      </w:r>
      <w:r w:rsidRPr="0068182D">
        <w:rPr>
          <w:rFonts w:ascii="Times New Roman" w:hAnsi="Times New Roman" w:cs="Times New Roman"/>
          <w:sz w:val="28"/>
          <w:szCs w:val="28"/>
          <w:lang w:val="en-US"/>
        </w:rPr>
        <w:t>deputies. The new deputies are unpaid, and most don't have the time to carry out even their limited functions. So it is difficult for them to carry out democratic control and actual budgetary decision-making. The essentially political nature of the appointment of senior officials in much of Russian local authorities is also notable.</w:t>
      </w:r>
    </w:p>
    <w:p w:rsidR="009663D3" w:rsidRDefault="004379E3" w:rsidP="009663D3">
      <w:pPr>
        <w:autoSpaceDE w:val="0"/>
        <w:autoSpaceDN w:val="0"/>
        <w:adjustRightInd w:val="0"/>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b/>
          <w:sz w:val="28"/>
          <w:szCs w:val="28"/>
          <w:lang w:val="en-GB"/>
        </w:rPr>
        <w:t>Inter-Governme</w:t>
      </w:r>
      <w:r w:rsidRPr="0068182D">
        <w:rPr>
          <w:rFonts w:ascii="Times New Roman" w:hAnsi="Times New Roman" w:cs="Times New Roman"/>
          <w:b/>
          <w:sz w:val="28"/>
          <w:szCs w:val="28"/>
          <w:lang w:val="en-US"/>
        </w:rPr>
        <w:t xml:space="preserve">ntal Relations. </w:t>
      </w:r>
      <w:r w:rsidRPr="0068182D">
        <w:rPr>
          <w:rFonts w:ascii="Times New Roman" w:hAnsi="Times New Roman" w:cs="Times New Roman"/>
          <w:sz w:val="28"/>
          <w:szCs w:val="28"/>
          <w:lang w:val="en-US"/>
        </w:rPr>
        <w:t>Despite the status of local government in the national constitution Russian local authorities in reality are to a large extent the creation of each main federal unit and exist within limits often defined in great detail in republican/regional constitutions and legislation. The implementation of local self-government and the definition of its functions depended to a large extent not only on the attitudes of the provincial leadership but also on the bargaining power of both the regional legislative branch and local administrations. The regional authorities continually give themselves greater powers in relation to local government but they can’t show themselves to be an adequate substitute for a proper strategy aimed at gaining the confidence of local authorities. On the contrary it generates suspicion and uncertainty. The logical result is numerous facts of confrontation. The most striking example is that of Prymorsky region and City of Vladivostok where as a result of an uncompromising struggle between the governor and the mayor 27 attempts were done to elect Vladivostok city Council and all of them failed.</w:t>
      </w:r>
    </w:p>
    <w:p w:rsidR="004379E3" w:rsidRPr="009663D3" w:rsidRDefault="004379E3" w:rsidP="009663D3">
      <w:pPr>
        <w:autoSpaceDE w:val="0"/>
        <w:autoSpaceDN w:val="0"/>
        <w:adjustRightInd w:val="0"/>
        <w:spacing w:after="0" w:line="240" w:lineRule="auto"/>
        <w:ind w:firstLine="567"/>
        <w:jc w:val="both"/>
        <w:rPr>
          <w:rFonts w:ascii="Times New Roman" w:eastAsia="Times New Roman" w:hAnsi="Times New Roman" w:cs="Times New Roman"/>
          <w:b/>
          <w:sz w:val="28"/>
          <w:szCs w:val="28"/>
          <w:lang w:val="en-US"/>
        </w:rPr>
      </w:pPr>
      <w:r w:rsidRPr="009663D3">
        <w:rPr>
          <w:rFonts w:ascii="Times New Roman" w:eastAsia="Times New Roman" w:hAnsi="Times New Roman" w:cs="Times New Roman"/>
          <w:sz w:val="28"/>
          <w:szCs w:val="28"/>
          <w:lang w:val="en-US"/>
        </w:rPr>
        <w:t>Local finance. The main problem with the local government in Russia is the lack of local control over finances. Laws granting powers to local authorities become meaningless when real financial power is not includ</w:t>
      </w:r>
      <w:r w:rsidRPr="009663D3">
        <w:rPr>
          <w:rFonts w:ascii="Times New Roman" w:eastAsia="Times New Roman" w:hAnsi="Times New Roman" w:cs="Times New Roman"/>
          <w:sz w:val="28"/>
          <w:szCs w:val="28"/>
          <w:lang w:val="en-US"/>
        </w:rPr>
        <w:softHyphen/>
        <w:t>ed. The tasks mandated to local gov</w:t>
      </w:r>
      <w:r w:rsidRPr="009663D3">
        <w:rPr>
          <w:rFonts w:ascii="Times New Roman" w:eastAsia="Times New Roman" w:hAnsi="Times New Roman" w:cs="Times New Roman"/>
          <w:sz w:val="28"/>
          <w:szCs w:val="28"/>
          <w:lang w:val="en-US"/>
        </w:rPr>
        <w:softHyphen/>
        <w:t>ernment in no way correspond to the actual amount of local revenue desig</w:t>
      </w:r>
      <w:r w:rsidRPr="009663D3">
        <w:rPr>
          <w:rFonts w:ascii="Times New Roman" w:eastAsia="Times New Roman" w:hAnsi="Times New Roman" w:cs="Times New Roman"/>
          <w:sz w:val="28"/>
          <w:szCs w:val="28"/>
          <w:lang w:val="en-US"/>
        </w:rPr>
        <w:softHyphen/>
        <w:t>nated to carry out those tasks. Delegated mandates in the social and housing sectors are not sufficiently covered. This has placed local government in a permanent financial crisis characterized by huge local budget deficits and deteriorating services. The concept of financing local budget deficits by loans or by issuing bonds is still in its infancy. As, following the Soviet tradition, the entire budget process is driven by expenditures - the local authorities present plans for their annual expendi</w:t>
      </w:r>
      <w:r w:rsidRPr="009663D3">
        <w:rPr>
          <w:rFonts w:ascii="Times New Roman" w:eastAsia="Times New Roman" w:hAnsi="Times New Roman" w:cs="Times New Roman"/>
          <w:sz w:val="28"/>
          <w:szCs w:val="28"/>
          <w:lang w:val="en-US"/>
        </w:rPr>
        <w:softHyphen/>
        <w:t>tures, and the regional governments allocate tax shares and grants, there is no incentive for municipalities to seek new sources of income, enhance cost recovery for services, or cut down ad</w:t>
      </w:r>
      <w:r w:rsidRPr="009663D3">
        <w:rPr>
          <w:rFonts w:ascii="Times New Roman" w:eastAsia="Times New Roman" w:hAnsi="Times New Roman" w:cs="Times New Roman"/>
          <w:sz w:val="28"/>
          <w:szCs w:val="28"/>
          <w:lang w:val="en-US"/>
        </w:rPr>
        <w:softHyphen/>
        <w:t>ministrative overhead. Innovative municipalities that economize or even create new enterprises are often “rewarded” for their efforts with a corresponding re</w:t>
      </w:r>
      <w:r w:rsidRPr="009663D3">
        <w:rPr>
          <w:rFonts w:ascii="Times New Roman" w:eastAsia="Times New Roman" w:hAnsi="Times New Roman" w:cs="Times New Roman"/>
          <w:sz w:val="28"/>
          <w:szCs w:val="28"/>
          <w:lang w:val="en-US"/>
        </w:rPr>
        <w:softHyphen/>
        <w:t>duction in their tax shares and grants. In addition, the central government determines the wages of all public-sec</w:t>
      </w:r>
      <w:r w:rsidRPr="009663D3">
        <w:rPr>
          <w:rFonts w:ascii="Times New Roman" w:eastAsia="Times New Roman" w:hAnsi="Times New Roman" w:cs="Times New Roman"/>
          <w:sz w:val="28"/>
          <w:szCs w:val="28"/>
          <w:lang w:val="en-US"/>
        </w:rPr>
        <w:softHyphen/>
        <w:t>tor employees, severely curbing municipal initiative. Wage increases put immediate pres</w:t>
      </w:r>
      <w:r w:rsidRPr="009663D3">
        <w:rPr>
          <w:rFonts w:ascii="Times New Roman" w:eastAsia="Times New Roman" w:hAnsi="Times New Roman" w:cs="Times New Roman"/>
          <w:sz w:val="28"/>
          <w:szCs w:val="28"/>
          <w:lang w:val="en-US"/>
        </w:rPr>
        <w:softHyphen/>
        <w:t>sure on local budgets. Accountability, efficiency, and responsibility fall by the wayside under the present system of local government finance. In fact the current state of affairs nourishes corruption and nepo</w:t>
      </w:r>
      <w:r w:rsidRPr="009663D3">
        <w:rPr>
          <w:rFonts w:ascii="Times New Roman" w:eastAsia="Times New Roman" w:hAnsi="Times New Roman" w:cs="Times New Roman"/>
          <w:sz w:val="28"/>
          <w:szCs w:val="28"/>
          <w:lang w:val="en-US"/>
        </w:rPr>
        <w:softHyphen/>
        <w:t>tism as public scrutiny is largely absent. Although the law on local self-government has a special provision for tax assignments to cover the “necessary minimum of expenses” for local authorities and local shares of federal and regional taxes to meet “minimum state social standards”, it is left open how this is to be achieved.</w:t>
      </w:r>
    </w:p>
    <w:p w:rsidR="004379E3" w:rsidRPr="009663D3" w:rsidRDefault="004379E3" w:rsidP="00C40532">
      <w:pPr>
        <w:spacing w:after="0" w:line="240" w:lineRule="auto"/>
        <w:ind w:firstLine="708"/>
        <w:jc w:val="both"/>
        <w:rPr>
          <w:rFonts w:ascii="Times New Roman" w:hAnsi="Times New Roman" w:cs="Times New Roman"/>
          <w:sz w:val="28"/>
          <w:szCs w:val="28"/>
          <w:lang w:val="en-US"/>
        </w:rPr>
      </w:pPr>
    </w:p>
    <w:p w:rsidR="004379E3" w:rsidRPr="0068182D" w:rsidRDefault="004379E3" w:rsidP="00386344">
      <w:pPr>
        <w:shd w:val="clear" w:color="auto" w:fill="FFFFFF"/>
        <w:spacing w:after="0" w:line="240" w:lineRule="auto"/>
        <w:ind w:firstLine="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Specifics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tax collection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the Russian Federation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tax system</w:t>
      </w:r>
      <w:r w:rsidRPr="0068182D">
        <w:rPr>
          <w:rFonts w:ascii="Times New Roman" w:hAnsi="Times New Roman" w:cs="Times New Roman"/>
          <w:b/>
          <w:sz w:val="28"/>
          <w:szCs w:val="28"/>
          <w:lang w:val="en-US"/>
        </w:rPr>
        <w:t>.</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w:t>
      </w:r>
      <w:r w:rsidRPr="0068182D">
        <w:rPr>
          <w:rStyle w:val="apple-converted-space"/>
          <w:sz w:val="28"/>
          <w:szCs w:val="28"/>
          <w:lang w:val="en-US"/>
        </w:rPr>
        <w:t> </w:t>
      </w:r>
      <w:r w:rsidRPr="0068182D">
        <w:rPr>
          <w:b/>
          <w:bCs/>
          <w:sz w:val="28"/>
          <w:szCs w:val="28"/>
          <w:lang w:val="en-US"/>
        </w:rPr>
        <w:t>Russian Tax Code</w:t>
      </w:r>
      <w:r w:rsidRPr="0068182D">
        <w:rPr>
          <w:rStyle w:val="apple-converted-space"/>
          <w:sz w:val="28"/>
          <w:szCs w:val="28"/>
          <w:lang w:val="en-US"/>
        </w:rPr>
        <w:t> </w:t>
      </w:r>
      <w:r w:rsidRPr="0068182D">
        <w:rPr>
          <w:sz w:val="28"/>
          <w:szCs w:val="28"/>
          <w:lang w:val="en-US"/>
        </w:rPr>
        <w:t>(</w:t>
      </w:r>
      <w:hyperlink r:id="rId533" w:tooltip="Russian language" w:history="1">
        <w:r w:rsidRPr="0068182D">
          <w:rPr>
            <w:rStyle w:val="a5"/>
            <w:color w:val="auto"/>
            <w:sz w:val="28"/>
            <w:szCs w:val="28"/>
            <w:u w:val="none"/>
            <w:lang w:val="en-US"/>
          </w:rPr>
          <w:t>Russian</w:t>
        </w:r>
      </w:hyperlink>
      <w:r w:rsidRPr="0068182D">
        <w:rPr>
          <w:sz w:val="28"/>
          <w:szCs w:val="28"/>
          <w:lang w:val="en-US"/>
        </w:rPr>
        <w:t>:</w:t>
      </w:r>
      <w:r w:rsidRPr="0068182D">
        <w:rPr>
          <w:rStyle w:val="apple-converted-space"/>
          <w:sz w:val="28"/>
          <w:szCs w:val="28"/>
          <w:lang w:val="en-US"/>
        </w:rPr>
        <w:t> </w:t>
      </w:r>
      <w:r w:rsidRPr="0068182D">
        <w:rPr>
          <w:sz w:val="28"/>
          <w:szCs w:val="28"/>
        </w:rPr>
        <w:t>Налоговый</w:t>
      </w:r>
      <w:r w:rsidRPr="0068182D">
        <w:rPr>
          <w:sz w:val="28"/>
          <w:szCs w:val="28"/>
          <w:lang w:val="en-US"/>
        </w:rPr>
        <w:t xml:space="preserve"> </w:t>
      </w:r>
      <w:r w:rsidRPr="0068182D">
        <w:rPr>
          <w:sz w:val="28"/>
          <w:szCs w:val="28"/>
        </w:rPr>
        <w:t>кодекс</w:t>
      </w:r>
      <w:r w:rsidRPr="0068182D">
        <w:rPr>
          <w:sz w:val="28"/>
          <w:szCs w:val="28"/>
          <w:lang w:val="en-US"/>
        </w:rPr>
        <w:t xml:space="preserve"> </w:t>
      </w:r>
      <w:r w:rsidRPr="0068182D">
        <w:rPr>
          <w:sz w:val="28"/>
          <w:szCs w:val="28"/>
        </w:rPr>
        <w:t>Российской</w:t>
      </w:r>
      <w:r w:rsidRPr="0068182D">
        <w:rPr>
          <w:sz w:val="28"/>
          <w:szCs w:val="28"/>
          <w:lang w:val="en-US"/>
        </w:rPr>
        <w:t xml:space="preserve"> </w:t>
      </w:r>
      <w:r w:rsidRPr="0068182D">
        <w:rPr>
          <w:sz w:val="28"/>
          <w:szCs w:val="28"/>
        </w:rPr>
        <w:t>Федерации</w:t>
      </w:r>
      <w:r w:rsidRPr="0068182D">
        <w:rPr>
          <w:sz w:val="28"/>
          <w:szCs w:val="28"/>
          <w:lang w:val="en-US"/>
        </w:rPr>
        <w:t>) is the primary tax law for the</w:t>
      </w:r>
      <w:r w:rsidRPr="0068182D">
        <w:rPr>
          <w:rStyle w:val="apple-converted-space"/>
          <w:sz w:val="28"/>
          <w:szCs w:val="28"/>
          <w:lang w:val="en-US"/>
        </w:rPr>
        <w:t> </w:t>
      </w:r>
      <w:hyperlink r:id="rId534" w:tooltip="Russian Federation" w:history="1">
        <w:r w:rsidRPr="0068182D">
          <w:rPr>
            <w:rStyle w:val="a5"/>
            <w:color w:val="auto"/>
            <w:sz w:val="28"/>
            <w:szCs w:val="28"/>
            <w:u w:val="none"/>
            <w:lang w:val="en-US"/>
          </w:rPr>
          <w:t>Russian Federation</w:t>
        </w:r>
      </w:hyperlink>
      <w:r w:rsidRPr="0068182D">
        <w:rPr>
          <w:sz w:val="28"/>
          <w:szCs w:val="28"/>
          <w:lang w:val="en-US"/>
        </w:rPr>
        <w:t>. The Code was created, adopted and implemented in three stages.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first part, enacted July 31, 1998, also referred to as the</w:t>
      </w:r>
      <w:r w:rsidRPr="0068182D">
        <w:rPr>
          <w:rStyle w:val="apple-converted-space"/>
          <w:sz w:val="28"/>
          <w:szCs w:val="28"/>
          <w:lang w:val="en-US"/>
        </w:rPr>
        <w:t> </w:t>
      </w:r>
      <w:r w:rsidRPr="0068182D">
        <w:rPr>
          <w:i/>
          <w:iCs/>
          <w:sz w:val="28"/>
          <w:szCs w:val="28"/>
          <w:lang w:val="en-US"/>
        </w:rPr>
        <w:t>General Part</w:t>
      </w:r>
      <w:r w:rsidRPr="0068182D">
        <w:rPr>
          <w:sz w:val="28"/>
          <w:szCs w:val="28"/>
          <w:lang w:val="en-US"/>
        </w:rPr>
        <w:t>, regulates relationships among taxpayers, tax agents, tax-collecting authorities and legislators, tax audit procedures, resolution of disputes, and enforcement of law.</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second part, enacted on August 5, 2001, defines specific taxes, rates, payment schedules, and detailed procedures for tax calculations. It was significantly amended in 2001–2003 with additions like the new</w:t>
      </w:r>
      <w:r w:rsidRPr="0068182D">
        <w:rPr>
          <w:rStyle w:val="apple-converted-space"/>
          <w:sz w:val="28"/>
          <w:szCs w:val="28"/>
          <w:lang w:val="en-US"/>
        </w:rPr>
        <w:t> </w:t>
      </w:r>
      <w:hyperlink r:id="rId535" w:tooltip="Corporate tax" w:history="1">
        <w:r w:rsidRPr="0068182D">
          <w:rPr>
            <w:rStyle w:val="a5"/>
            <w:color w:val="auto"/>
            <w:sz w:val="28"/>
            <w:szCs w:val="28"/>
            <w:u w:val="none"/>
            <w:lang w:val="en-US"/>
          </w:rPr>
          <w:t>corporate profits tax</w:t>
        </w:r>
      </w:hyperlink>
      <w:r w:rsidRPr="0068182D">
        <w:rPr>
          <w:rStyle w:val="apple-converted-space"/>
          <w:sz w:val="28"/>
          <w:szCs w:val="28"/>
          <w:lang w:val="en-US"/>
        </w:rPr>
        <w:t> </w:t>
      </w:r>
      <w:r w:rsidRPr="0068182D">
        <w:rPr>
          <w:sz w:val="28"/>
          <w:szCs w:val="28"/>
          <w:lang w:val="en-US"/>
        </w:rPr>
        <w:t>section and the new</w:t>
      </w:r>
      <w:r w:rsidRPr="0068182D">
        <w:rPr>
          <w:rStyle w:val="apple-converted-space"/>
          <w:sz w:val="28"/>
          <w:szCs w:val="28"/>
          <w:lang w:val="en-US"/>
        </w:rPr>
        <w:t> </w:t>
      </w:r>
      <w:hyperlink r:id="rId536" w:anchor="Special_taxation_frameworks" w:history="1">
        <w:r w:rsidRPr="0068182D">
          <w:rPr>
            <w:rStyle w:val="a5"/>
            <w:color w:val="auto"/>
            <w:sz w:val="28"/>
            <w:szCs w:val="28"/>
            <w:u w:val="none"/>
            <w:lang w:val="en-US"/>
          </w:rPr>
          <w:t>simplified tax system for small business</w:t>
        </w:r>
      </w:hyperlink>
      <w:r w:rsidRPr="0068182D">
        <w:rPr>
          <w:sz w:val="28"/>
          <w:szCs w:val="28"/>
          <w:lang w:val="en-US"/>
        </w:rPr>
        <w:t>. The Code is subject to regular changes which are effected through federal laws.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Code is designed as a complete national system for federal, regional and local taxes but excludes</w:t>
      </w:r>
      <w:r w:rsidRPr="0068182D">
        <w:rPr>
          <w:rStyle w:val="apple-converted-space"/>
          <w:sz w:val="28"/>
          <w:szCs w:val="28"/>
          <w:lang w:val="en-US"/>
        </w:rPr>
        <w:t> </w:t>
      </w:r>
      <w:hyperlink r:id="rId537" w:tooltip="Russian Customs Tariff" w:history="1">
        <w:r w:rsidRPr="0068182D">
          <w:rPr>
            <w:rStyle w:val="a5"/>
            <w:color w:val="auto"/>
            <w:sz w:val="28"/>
            <w:szCs w:val="28"/>
            <w:u w:val="none"/>
            <w:lang w:val="en-US"/>
          </w:rPr>
          <w:t>customs tariffs</w:t>
        </w:r>
      </w:hyperlink>
      <w:r w:rsidRPr="0068182D">
        <w:rPr>
          <w:sz w:val="28"/>
          <w:szCs w:val="28"/>
          <w:lang w:val="en-US"/>
        </w:rPr>
        <w:t>. Rules and rates of regional and local taxation must conform to the framework established by the Code. Taxes or levies not listed explicitly by the Code or enacted in violation of its specific provisions are deemed illegal and void.</w:t>
      </w:r>
      <w:hyperlink r:id="rId538" w:anchor="cite_note-1" w:history="1">
        <w:r w:rsidRPr="0068182D">
          <w:rPr>
            <w:rStyle w:val="a5"/>
            <w:color w:val="auto"/>
            <w:sz w:val="28"/>
            <w:szCs w:val="28"/>
            <w:u w:val="none"/>
            <w:vertAlign w:val="superscript"/>
            <w:lang w:val="en-US"/>
          </w:rPr>
          <w:t>[1]</w:t>
        </w:r>
      </w:hyperlink>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Russian tax system tends to use moderate</w:t>
      </w:r>
      <w:r w:rsidRPr="0068182D">
        <w:rPr>
          <w:rStyle w:val="apple-converted-space"/>
          <w:sz w:val="28"/>
          <w:szCs w:val="28"/>
          <w:lang w:val="en-US"/>
        </w:rPr>
        <w:t> </w:t>
      </w:r>
      <w:hyperlink r:id="rId539" w:tooltip="Flat tax" w:history="1">
        <w:r w:rsidRPr="0068182D">
          <w:rPr>
            <w:rStyle w:val="a5"/>
            <w:color w:val="auto"/>
            <w:sz w:val="28"/>
            <w:szCs w:val="28"/>
            <w:u w:val="none"/>
            <w:lang w:val="en-US"/>
          </w:rPr>
          <w:t>flat</w:t>
        </w:r>
      </w:hyperlink>
      <w:r w:rsidRPr="0068182D">
        <w:rPr>
          <w:rStyle w:val="apple-converted-space"/>
          <w:sz w:val="28"/>
          <w:szCs w:val="28"/>
          <w:lang w:val="en-US"/>
        </w:rPr>
        <w:t> </w:t>
      </w:r>
      <w:r w:rsidRPr="0068182D">
        <w:rPr>
          <w:sz w:val="28"/>
          <w:szCs w:val="28"/>
          <w:lang w:val="en-US"/>
        </w:rPr>
        <w:t>or</w:t>
      </w:r>
      <w:r w:rsidRPr="0068182D">
        <w:rPr>
          <w:rStyle w:val="apple-converted-space"/>
          <w:sz w:val="28"/>
          <w:szCs w:val="28"/>
          <w:lang w:val="en-US"/>
        </w:rPr>
        <w:t> </w:t>
      </w:r>
      <w:hyperlink r:id="rId540" w:tooltip="Regressive tax" w:history="1">
        <w:r w:rsidRPr="0068182D">
          <w:rPr>
            <w:rStyle w:val="a5"/>
            <w:color w:val="auto"/>
            <w:sz w:val="28"/>
            <w:szCs w:val="28"/>
            <w:u w:val="none"/>
            <w:lang w:val="en-US"/>
          </w:rPr>
          <w:t>regressive tax</w:t>
        </w:r>
      </w:hyperlink>
      <w:r w:rsidRPr="0068182D">
        <w:rPr>
          <w:rStyle w:val="apple-converted-space"/>
          <w:sz w:val="28"/>
          <w:szCs w:val="28"/>
          <w:lang w:val="en-US"/>
        </w:rPr>
        <w:t> </w:t>
      </w:r>
      <w:r w:rsidRPr="0068182D">
        <w:rPr>
          <w:sz w:val="28"/>
          <w:szCs w:val="28"/>
          <w:lang w:val="en-US"/>
        </w:rPr>
        <w:t>rates. It is highly centralized for a</w:t>
      </w:r>
      <w:r w:rsidRPr="0068182D">
        <w:rPr>
          <w:rStyle w:val="apple-converted-space"/>
          <w:sz w:val="28"/>
          <w:szCs w:val="28"/>
          <w:lang w:val="en-US"/>
        </w:rPr>
        <w:t> </w:t>
      </w:r>
      <w:hyperlink r:id="rId541" w:tooltip="Federal state" w:history="1">
        <w:r w:rsidRPr="0068182D">
          <w:rPr>
            <w:rStyle w:val="a5"/>
            <w:color w:val="auto"/>
            <w:sz w:val="28"/>
            <w:szCs w:val="28"/>
            <w:u w:val="none"/>
            <w:lang w:val="en-US"/>
          </w:rPr>
          <w:t>federal state</w:t>
        </w:r>
      </w:hyperlink>
      <w:r w:rsidRPr="0068182D">
        <w:rPr>
          <w:rStyle w:val="apple-converted-space"/>
          <w:sz w:val="28"/>
          <w:szCs w:val="28"/>
          <w:lang w:val="en-US"/>
        </w:rPr>
        <w:t> </w:t>
      </w:r>
      <w:r w:rsidRPr="0068182D">
        <w:rPr>
          <w:sz w:val="28"/>
          <w:szCs w:val="28"/>
          <w:lang w:val="en-US"/>
        </w:rPr>
        <w:t>and relies heavily on proceeds from</w:t>
      </w:r>
      <w:r w:rsidRPr="0068182D">
        <w:rPr>
          <w:rStyle w:val="apple-converted-space"/>
          <w:sz w:val="28"/>
          <w:szCs w:val="28"/>
          <w:lang w:val="en-US"/>
        </w:rPr>
        <w:t> </w:t>
      </w:r>
      <w:hyperlink r:id="rId542" w:tooltip="Energy policy of Russia" w:history="1">
        <w:r w:rsidRPr="0068182D">
          <w:rPr>
            <w:rStyle w:val="a5"/>
            <w:color w:val="auto"/>
            <w:sz w:val="28"/>
            <w:szCs w:val="28"/>
            <w:u w:val="none"/>
            <w:lang w:val="en-US"/>
          </w:rPr>
          <w:t>oil and natural gas</w:t>
        </w:r>
      </w:hyperlink>
      <w:r w:rsidRPr="0068182D">
        <w:rPr>
          <w:rStyle w:val="apple-converted-space"/>
          <w:sz w:val="28"/>
          <w:szCs w:val="28"/>
          <w:lang w:val="en-US"/>
        </w:rPr>
        <w:t> </w:t>
      </w:r>
      <w:r w:rsidRPr="0068182D">
        <w:rPr>
          <w:sz w:val="28"/>
          <w:szCs w:val="28"/>
          <w:lang w:val="en-US"/>
        </w:rPr>
        <w:t>corporations. In 2006 the tax burden on oil companies exceeded 45 percent of net sales (compared to 12 percent in</w:t>
      </w:r>
      <w:r w:rsidRPr="0068182D">
        <w:rPr>
          <w:rStyle w:val="apple-converted-space"/>
          <w:sz w:val="28"/>
          <w:szCs w:val="28"/>
          <w:lang w:val="en-US"/>
        </w:rPr>
        <w:t> </w:t>
      </w:r>
      <w:hyperlink r:id="rId543" w:tooltip="Construction" w:history="1">
        <w:r w:rsidRPr="0068182D">
          <w:rPr>
            <w:rStyle w:val="a5"/>
            <w:color w:val="auto"/>
            <w:sz w:val="28"/>
            <w:szCs w:val="28"/>
            <w:u w:val="none"/>
            <w:lang w:val="en-US"/>
          </w:rPr>
          <w:t>construction</w:t>
        </w:r>
      </w:hyperlink>
      <w:r w:rsidRPr="0068182D">
        <w:rPr>
          <w:rStyle w:val="apple-converted-space"/>
          <w:sz w:val="28"/>
          <w:szCs w:val="28"/>
          <w:lang w:val="en-US"/>
        </w:rPr>
        <w:t> </w:t>
      </w:r>
      <w:r w:rsidRPr="0068182D">
        <w:rPr>
          <w:sz w:val="28"/>
          <w:szCs w:val="28"/>
          <w:lang w:val="en-US"/>
        </w:rPr>
        <w:t>and 16.5 percent in</w:t>
      </w:r>
      <w:r w:rsidRPr="0068182D">
        <w:rPr>
          <w:rStyle w:val="apple-converted-space"/>
          <w:sz w:val="28"/>
          <w:szCs w:val="28"/>
          <w:lang w:val="en-US"/>
        </w:rPr>
        <w:t> </w:t>
      </w:r>
      <w:hyperlink r:id="rId544" w:tooltip="Telecommunications" w:history="1">
        <w:r w:rsidRPr="0068182D">
          <w:rPr>
            <w:rStyle w:val="a5"/>
            <w:color w:val="auto"/>
            <w:sz w:val="28"/>
            <w:szCs w:val="28"/>
            <w:u w:val="none"/>
            <w:lang w:val="en-US"/>
          </w:rPr>
          <w:t>telecommunications</w:t>
        </w:r>
      </w:hyperlink>
      <w:r w:rsidRPr="0068182D">
        <w:rPr>
          <w:sz w:val="28"/>
          <w:szCs w:val="28"/>
          <w:lang w:val="en-US"/>
        </w:rPr>
        <w:t>).</w:t>
      </w:r>
      <w:hyperlink r:id="rId545" w:anchor="cite_note-2" w:history="1">
        <w:r w:rsidRPr="0068182D">
          <w:rPr>
            <w:rStyle w:val="a5"/>
            <w:color w:val="auto"/>
            <w:sz w:val="28"/>
            <w:szCs w:val="28"/>
            <w:u w:val="none"/>
            <w:vertAlign w:val="superscript"/>
            <w:lang w:val="en-US"/>
          </w:rPr>
          <w:t>[2]</w:t>
        </w:r>
      </w:hyperlink>
      <w:r w:rsidRPr="0068182D">
        <w:rPr>
          <w:rStyle w:val="apple-converted-space"/>
          <w:sz w:val="28"/>
          <w:szCs w:val="28"/>
          <w:lang w:val="en-US"/>
        </w:rPr>
        <w:t> </w:t>
      </w:r>
      <w:r w:rsidRPr="0068182D">
        <w:rPr>
          <w:sz w:val="28"/>
          <w:szCs w:val="28"/>
          <w:lang w:val="en-US"/>
        </w:rPr>
        <w:t>Rates for oil-related taxes and tariffs, unlike regular taxes, are set not by the Tax Code but by government decree. The Russian Ministry of Finance estimates that revenues regulated by the Tax Code will account for 68 percent of federal revenue in 2008</w:t>
      </w:r>
      <w:r w:rsidRPr="0068182D">
        <w:rPr>
          <w:rStyle w:val="apple-converted-space"/>
          <w:sz w:val="28"/>
          <w:szCs w:val="28"/>
          <w:lang w:val="en-US"/>
        </w:rPr>
        <w:t> </w:t>
      </w:r>
      <w:hyperlink r:id="rId546" w:tooltip="Fiscal year" w:history="1">
        <w:r w:rsidRPr="0068182D">
          <w:rPr>
            <w:rStyle w:val="a5"/>
            <w:color w:val="auto"/>
            <w:sz w:val="28"/>
            <w:szCs w:val="28"/>
            <w:u w:val="none"/>
            <w:lang w:val="en-US"/>
          </w:rPr>
          <w:t>fiscal year</w:t>
        </w:r>
      </w:hyperlink>
      <w:r w:rsidRPr="0068182D">
        <w:rPr>
          <w:sz w:val="28"/>
          <w:szCs w:val="28"/>
          <w:lang w:val="en-US"/>
        </w:rPr>
        <w:t>, rising to 73 percent in 2010.</w:t>
      </w:r>
    </w:p>
    <w:p w:rsidR="004379E3" w:rsidRPr="009663D3" w:rsidRDefault="004379E3" w:rsidP="00386344">
      <w:pPr>
        <w:pStyle w:val="2"/>
        <w:pBdr>
          <w:bottom w:val="single" w:sz="6" w:space="0" w:color="A2A9B1"/>
        </w:pBdr>
        <w:shd w:val="clear" w:color="auto" w:fill="FFFFFF"/>
        <w:spacing w:before="0" w:beforeAutospacing="0" w:after="0" w:afterAutospacing="0"/>
        <w:ind w:firstLine="567"/>
        <w:jc w:val="both"/>
        <w:rPr>
          <w:b w:val="0"/>
          <w:bCs w:val="0"/>
          <w:sz w:val="28"/>
          <w:szCs w:val="28"/>
          <w:lang w:val="en-US"/>
        </w:rPr>
      </w:pPr>
      <w:r w:rsidRPr="0068182D">
        <w:rPr>
          <w:rStyle w:val="mw-headline"/>
          <w:b w:val="0"/>
          <w:bCs w:val="0"/>
          <w:sz w:val="28"/>
          <w:szCs w:val="28"/>
          <w:lang w:val="en-US"/>
        </w:rPr>
        <w:t>Federal taxes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Distinction between</w:t>
      </w:r>
      <w:r w:rsidRPr="0068182D">
        <w:rPr>
          <w:rStyle w:val="apple-converted-space"/>
          <w:sz w:val="28"/>
          <w:szCs w:val="28"/>
          <w:lang w:val="en-US"/>
        </w:rPr>
        <w:t> </w:t>
      </w:r>
      <w:r w:rsidRPr="0068182D">
        <w:rPr>
          <w:i/>
          <w:iCs/>
          <w:sz w:val="28"/>
          <w:szCs w:val="28"/>
          <w:lang w:val="en-US"/>
        </w:rPr>
        <w:t>federal</w:t>
      </w:r>
      <w:r w:rsidRPr="0068182D">
        <w:rPr>
          <w:sz w:val="28"/>
          <w:szCs w:val="28"/>
          <w:lang w:val="en-US"/>
        </w:rPr>
        <w:t>,</w:t>
      </w:r>
      <w:r w:rsidRPr="0068182D">
        <w:rPr>
          <w:rStyle w:val="apple-converted-space"/>
          <w:sz w:val="28"/>
          <w:szCs w:val="28"/>
          <w:lang w:val="en-US"/>
        </w:rPr>
        <w:t> </w:t>
      </w:r>
      <w:r w:rsidRPr="0068182D">
        <w:rPr>
          <w:i/>
          <w:iCs/>
          <w:sz w:val="28"/>
          <w:szCs w:val="28"/>
          <w:lang w:val="en-US"/>
        </w:rPr>
        <w:t>regional</w:t>
      </w:r>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r w:rsidRPr="0068182D">
        <w:rPr>
          <w:i/>
          <w:iCs/>
          <w:sz w:val="28"/>
          <w:szCs w:val="28"/>
          <w:lang w:val="en-US"/>
        </w:rPr>
        <w:t>local</w:t>
      </w:r>
      <w:r w:rsidRPr="0068182D">
        <w:rPr>
          <w:rStyle w:val="apple-converted-space"/>
          <w:sz w:val="28"/>
          <w:szCs w:val="28"/>
          <w:lang w:val="en-US"/>
        </w:rPr>
        <w:t> </w:t>
      </w:r>
      <w:r w:rsidRPr="0068182D">
        <w:rPr>
          <w:sz w:val="28"/>
          <w:szCs w:val="28"/>
          <w:lang w:val="en-US"/>
        </w:rPr>
        <w:t>taxes depends on the level of legislature that is entitled to establish rates for that kind of tax. Federal rates are explicitly set by the Tax Code; regional tax rates are limited by the Code but set by regional laws. Federal taxes such as the personal income tax may forwarded to regional governments; corporate profit taxes are split into federal and regional shares defined by the Code.</w:t>
      </w:r>
    </w:p>
    <w:p w:rsidR="004379E3" w:rsidRPr="0068182D" w:rsidRDefault="00CD577A" w:rsidP="00386344">
      <w:pPr>
        <w:pStyle w:val="a6"/>
        <w:shd w:val="clear" w:color="auto" w:fill="FFFFFF"/>
        <w:spacing w:before="0" w:beforeAutospacing="0" w:after="0" w:afterAutospacing="0"/>
        <w:ind w:firstLine="567"/>
        <w:jc w:val="both"/>
        <w:rPr>
          <w:sz w:val="28"/>
          <w:szCs w:val="28"/>
          <w:lang w:val="en-US"/>
        </w:rPr>
      </w:pPr>
      <w:hyperlink r:id="rId547" w:tooltip="Value added tax" w:history="1">
        <w:r w:rsidR="004379E3" w:rsidRPr="0068182D">
          <w:rPr>
            <w:rStyle w:val="a5"/>
            <w:b/>
            <w:bCs/>
            <w:color w:val="auto"/>
            <w:sz w:val="28"/>
            <w:szCs w:val="28"/>
            <w:u w:val="none"/>
            <w:lang w:val="en-US"/>
          </w:rPr>
          <w:t>VAT</w:t>
        </w:r>
      </w:hyperlink>
      <w:r w:rsidR="004379E3" w:rsidRPr="0068182D">
        <w:rPr>
          <w:rStyle w:val="apple-converted-space"/>
          <w:sz w:val="28"/>
          <w:szCs w:val="28"/>
          <w:lang w:val="en-US"/>
        </w:rPr>
        <w:t> </w:t>
      </w:r>
      <w:r w:rsidR="004379E3" w:rsidRPr="0068182D">
        <w:rPr>
          <w:sz w:val="28"/>
          <w:szCs w:val="28"/>
          <w:lang w:val="en-US"/>
        </w:rPr>
        <w:t>is the largest source of federal revenue (32 percent in 2008).</w:t>
      </w:r>
      <w:hyperlink r:id="rId548" w:anchor="cite_note-MFT-3" w:history="1">
        <w:r w:rsidR="004379E3" w:rsidRPr="0068182D">
          <w:rPr>
            <w:rStyle w:val="a5"/>
            <w:color w:val="auto"/>
            <w:sz w:val="28"/>
            <w:szCs w:val="28"/>
            <w:u w:val="none"/>
            <w:vertAlign w:val="superscript"/>
            <w:lang w:val="en-US"/>
          </w:rPr>
          <w:t>[3]</w:t>
        </w:r>
      </w:hyperlink>
      <w:r w:rsidR="004379E3" w:rsidRPr="0068182D">
        <w:rPr>
          <w:rStyle w:val="apple-converted-space"/>
          <w:sz w:val="28"/>
          <w:szCs w:val="28"/>
          <w:lang w:val="en-US"/>
        </w:rPr>
        <w:t> </w:t>
      </w:r>
      <w:r w:rsidR="004379E3" w:rsidRPr="0068182D">
        <w:rPr>
          <w:sz w:val="28"/>
          <w:szCs w:val="28"/>
          <w:lang w:val="en-US"/>
        </w:rPr>
        <w:t>VAT on imports (13 percent of federal revenue) is 18 percent (10 percent on selected foodstuffs) prior to release from the customs warehouse. VAT on domestic goods is calculated as the difference of VAT on sales (at the earliest of cash receipt or shipment of goods on credit) and input VAT on accrued costs.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VAT paid to suppliers that has not yet materialized into services or goods cannot be credited against current tax liability. VAT paid to suppliers on export sales is refunded in full if the seller receives payment for exports within 6 months of shipment. Refund of export VAT has become a major source of fraud, while law-abiding exporters have to resort to court action to get the refund.</w:t>
      </w:r>
      <w:r w:rsidRPr="0068182D">
        <w:rPr>
          <w:sz w:val="28"/>
          <w:szCs w:val="28"/>
          <w:vertAlign w:val="superscript"/>
          <w:lang w:val="en-US"/>
        </w:rPr>
        <w:t>[</w:t>
      </w:r>
      <w:hyperlink r:id="rId549" w:tooltip="Wikipedia:Citation needed" w:history="1">
        <w:r w:rsidRPr="0068182D">
          <w:rPr>
            <w:rStyle w:val="a5"/>
            <w:i/>
            <w:iCs/>
            <w:color w:val="auto"/>
            <w:sz w:val="28"/>
            <w:szCs w:val="28"/>
            <w:u w:val="none"/>
            <w:vertAlign w:val="superscript"/>
            <w:lang w:val="en-US"/>
          </w:rPr>
          <w:t>citation needed</w:t>
        </w:r>
      </w:hyperlink>
      <w:r w:rsidRPr="0068182D">
        <w:rPr>
          <w:sz w:val="28"/>
          <w:szCs w:val="28"/>
          <w:vertAlign w:val="superscript"/>
          <w:lang w:val="en-US"/>
        </w:rPr>
        <w:t>]</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VAT exemption extends to targeted companies in medicine,</w:t>
      </w:r>
      <w:r w:rsidRPr="0068182D">
        <w:rPr>
          <w:rStyle w:val="apple-converted-space"/>
          <w:sz w:val="28"/>
          <w:szCs w:val="28"/>
          <w:lang w:val="en-US"/>
        </w:rPr>
        <w:t> </w:t>
      </w:r>
      <w:hyperlink r:id="rId550" w:tooltip="Pharmaceutical industry" w:history="1">
        <w:r w:rsidRPr="0068182D">
          <w:rPr>
            <w:rStyle w:val="a5"/>
            <w:color w:val="auto"/>
            <w:sz w:val="28"/>
            <w:szCs w:val="28"/>
            <w:u w:val="none"/>
            <w:lang w:val="en-US"/>
          </w:rPr>
          <w:t>pharmaceutical industry</w:t>
        </w:r>
      </w:hyperlink>
      <w:r w:rsidRPr="0068182D">
        <w:rPr>
          <w:sz w:val="28"/>
          <w:szCs w:val="28"/>
          <w:lang w:val="en-US"/>
        </w:rPr>
        <w:t>, education, public housing and transportation; to private homes and apartments; to traditional</w:t>
      </w:r>
      <w:r w:rsidRPr="0068182D">
        <w:rPr>
          <w:rStyle w:val="apple-converted-space"/>
          <w:sz w:val="28"/>
          <w:szCs w:val="28"/>
          <w:lang w:val="en-US"/>
        </w:rPr>
        <w:t> </w:t>
      </w:r>
      <w:hyperlink r:id="rId551" w:tooltip="Banking" w:history="1">
        <w:r w:rsidRPr="0068182D">
          <w:rPr>
            <w:rStyle w:val="a5"/>
            <w:color w:val="auto"/>
            <w:sz w:val="28"/>
            <w:szCs w:val="28"/>
            <w:u w:val="none"/>
            <w:lang w:val="en-US"/>
          </w:rPr>
          <w:t>banking</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552" w:tooltip="Insurance" w:history="1">
        <w:r w:rsidRPr="0068182D">
          <w:rPr>
            <w:rStyle w:val="a5"/>
            <w:color w:val="auto"/>
            <w:sz w:val="28"/>
            <w:szCs w:val="28"/>
            <w:u w:val="none"/>
            <w:lang w:val="en-US"/>
          </w:rPr>
          <w:t>insurance</w:t>
        </w:r>
      </w:hyperlink>
      <w:r w:rsidRPr="0068182D">
        <w:rPr>
          <w:rStyle w:val="apple-converted-space"/>
          <w:sz w:val="28"/>
          <w:szCs w:val="28"/>
          <w:lang w:val="en-US"/>
        </w:rPr>
        <w:t> </w:t>
      </w:r>
      <w:r w:rsidRPr="0068182D">
        <w:rPr>
          <w:sz w:val="28"/>
          <w:szCs w:val="28"/>
          <w:lang w:val="en-US"/>
        </w:rPr>
        <w:t>services; to sales of exclusive</w:t>
      </w:r>
      <w:r w:rsidRPr="0068182D">
        <w:rPr>
          <w:rStyle w:val="apple-converted-space"/>
          <w:sz w:val="28"/>
          <w:szCs w:val="28"/>
          <w:lang w:val="en-US"/>
        </w:rPr>
        <w:t> </w:t>
      </w:r>
      <w:hyperlink r:id="rId553" w:tooltip="Copyright" w:history="1">
        <w:r w:rsidRPr="0068182D">
          <w:rPr>
            <w:rStyle w:val="a5"/>
            <w:color w:val="auto"/>
            <w:sz w:val="28"/>
            <w:szCs w:val="28"/>
            <w:u w:val="none"/>
            <w:lang w:val="en-US"/>
          </w:rPr>
          <w:t>copyright</w:t>
        </w:r>
      </w:hyperlink>
      <w:r w:rsidRPr="0068182D">
        <w:rPr>
          <w:rStyle w:val="apple-converted-space"/>
          <w:sz w:val="28"/>
          <w:szCs w:val="28"/>
          <w:lang w:val="en-US"/>
        </w:rPr>
        <w:t> </w:t>
      </w:r>
      <w:r w:rsidRPr="0068182D">
        <w:rPr>
          <w:sz w:val="28"/>
          <w:szCs w:val="28"/>
          <w:lang w:val="en-US"/>
        </w:rPr>
        <w:t>on</w:t>
      </w:r>
      <w:r w:rsidRPr="0068182D">
        <w:rPr>
          <w:rStyle w:val="apple-converted-space"/>
          <w:sz w:val="28"/>
          <w:szCs w:val="28"/>
          <w:lang w:val="en-US"/>
        </w:rPr>
        <w:t> </w:t>
      </w:r>
      <w:hyperlink r:id="rId554" w:tooltip="Software" w:history="1">
        <w:r w:rsidRPr="0068182D">
          <w:rPr>
            <w:rStyle w:val="a5"/>
            <w:color w:val="auto"/>
            <w:sz w:val="28"/>
            <w:szCs w:val="28"/>
            <w:u w:val="none"/>
            <w:lang w:val="en-US"/>
          </w:rPr>
          <w:t>software</w:t>
        </w:r>
      </w:hyperlink>
      <w:r w:rsidRPr="0068182D">
        <w:rPr>
          <w:sz w:val="28"/>
          <w:szCs w:val="28"/>
          <w:lang w:val="en-US"/>
        </w:rPr>
        <w:t>,</w:t>
      </w:r>
      <w:r w:rsidRPr="0068182D">
        <w:rPr>
          <w:rStyle w:val="apple-converted-space"/>
          <w:sz w:val="28"/>
          <w:szCs w:val="28"/>
          <w:lang w:val="en-US"/>
        </w:rPr>
        <w:t> </w:t>
      </w:r>
      <w:hyperlink r:id="rId555" w:tooltip="Integrated circuit" w:history="1">
        <w:r w:rsidRPr="0068182D">
          <w:rPr>
            <w:rStyle w:val="a5"/>
            <w:color w:val="auto"/>
            <w:sz w:val="28"/>
            <w:szCs w:val="28"/>
            <w:u w:val="none"/>
            <w:lang w:val="en-US"/>
          </w:rPr>
          <w:t>integrated circuit</w:t>
        </w:r>
      </w:hyperlink>
      <w:r w:rsidRPr="0068182D">
        <w:rPr>
          <w:rStyle w:val="apple-converted-space"/>
          <w:sz w:val="28"/>
          <w:szCs w:val="28"/>
          <w:lang w:val="en-US"/>
        </w:rPr>
        <w:t> </w:t>
      </w:r>
      <w:hyperlink r:id="rId556" w:tooltip="Topology (electronics)" w:history="1">
        <w:r w:rsidRPr="0068182D">
          <w:rPr>
            <w:rStyle w:val="a5"/>
            <w:color w:val="auto"/>
            <w:sz w:val="28"/>
            <w:szCs w:val="28"/>
            <w:u w:val="none"/>
            <w:lang w:val="en-US"/>
          </w:rPr>
          <w:t>topologies</w:t>
        </w:r>
      </w:hyperlink>
      <w:r w:rsidRPr="0068182D">
        <w:rPr>
          <w:rStyle w:val="apple-converted-space"/>
          <w:sz w:val="28"/>
          <w:szCs w:val="28"/>
          <w:lang w:val="en-US"/>
        </w:rPr>
        <w:t> </w:t>
      </w:r>
      <w:r w:rsidRPr="0068182D">
        <w:rPr>
          <w:sz w:val="28"/>
          <w:szCs w:val="28"/>
          <w:lang w:val="en-US"/>
        </w:rPr>
        <w:t>and similar high technology contracts.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VAT ineligibility is a very common charge by tax authorities. An April 2004 ruling by the</w:t>
      </w:r>
      <w:r w:rsidRPr="0068182D">
        <w:rPr>
          <w:rStyle w:val="apple-converted-space"/>
          <w:sz w:val="28"/>
          <w:szCs w:val="28"/>
          <w:lang w:val="en-US"/>
        </w:rPr>
        <w:t> </w:t>
      </w:r>
      <w:hyperlink r:id="rId557" w:tooltip="Constitutional Court of Russia" w:history="1">
        <w:r w:rsidRPr="0068182D">
          <w:rPr>
            <w:rStyle w:val="a5"/>
            <w:color w:val="auto"/>
            <w:sz w:val="28"/>
            <w:szCs w:val="28"/>
            <w:u w:val="none"/>
            <w:lang w:val="en-US"/>
          </w:rPr>
          <w:t>Constitutional Court of Russia</w:t>
        </w:r>
      </w:hyperlink>
      <w:r w:rsidRPr="0068182D">
        <w:rPr>
          <w:rStyle w:val="apple-converted-space"/>
          <w:sz w:val="28"/>
          <w:szCs w:val="28"/>
          <w:lang w:val="en-US"/>
        </w:rPr>
        <w:t> </w:t>
      </w:r>
      <w:r w:rsidRPr="0068182D">
        <w:rPr>
          <w:sz w:val="28"/>
          <w:szCs w:val="28"/>
          <w:lang w:val="en-US"/>
        </w:rPr>
        <w:t>that increased corporate tax liabilities was revoked by Supreme Arbitrage Court in December 2004.</w:t>
      </w:r>
      <w:hyperlink r:id="rId558" w:anchor="cite_note-29" w:history="1">
        <w:r w:rsidRPr="0068182D">
          <w:rPr>
            <w:rStyle w:val="a5"/>
            <w:color w:val="auto"/>
            <w:sz w:val="28"/>
            <w:szCs w:val="28"/>
            <w:u w:val="none"/>
            <w:vertAlign w:val="superscript"/>
            <w:lang w:val="en-US"/>
          </w:rPr>
          <w:t>[29]</w:t>
        </w:r>
      </w:hyperlink>
      <w:r w:rsidRPr="0068182D">
        <w:rPr>
          <w:rStyle w:val="apple-converted-space"/>
          <w:sz w:val="28"/>
          <w:szCs w:val="28"/>
          <w:lang w:val="en-US"/>
        </w:rPr>
        <w:t> </w:t>
      </w:r>
      <w:r w:rsidRPr="0068182D">
        <w:rPr>
          <w:sz w:val="28"/>
          <w:szCs w:val="28"/>
          <w:lang w:val="en-US"/>
        </w:rPr>
        <w:t>The Federal Tax Service resolved the same case one year later.</w:t>
      </w:r>
      <w:hyperlink r:id="rId559" w:anchor="cite_note-30" w:history="1">
        <w:r w:rsidRPr="0068182D">
          <w:rPr>
            <w:rStyle w:val="a5"/>
            <w:color w:val="auto"/>
            <w:sz w:val="28"/>
            <w:szCs w:val="28"/>
            <w:u w:val="none"/>
            <w:vertAlign w:val="superscript"/>
            <w:lang w:val="en-US"/>
          </w:rPr>
          <w:t>[30]</w:t>
        </w:r>
      </w:hyperlink>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b/>
          <w:bCs/>
          <w:sz w:val="28"/>
          <w:szCs w:val="28"/>
          <w:lang w:val="en-US"/>
        </w:rPr>
        <w:t>Tax on mineral resource extraction</w:t>
      </w:r>
      <w:r w:rsidRPr="0068182D">
        <w:rPr>
          <w:rStyle w:val="apple-converted-space"/>
          <w:sz w:val="28"/>
          <w:szCs w:val="28"/>
          <w:lang w:val="en-US"/>
        </w:rPr>
        <w:t> </w:t>
      </w:r>
      <w:r w:rsidRPr="0068182D">
        <w:rPr>
          <w:sz w:val="28"/>
          <w:szCs w:val="28"/>
          <w:lang w:val="en-US"/>
        </w:rPr>
        <w:t>is the second largest source of federal revenue regulated by the Code; most of it is paid by</w:t>
      </w:r>
      <w:r w:rsidRPr="0068182D">
        <w:rPr>
          <w:rStyle w:val="apple-converted-space"/>
          <w:sz w:val="28"/>
          <w:szCs w:val="28"/>
          <w:lang w:val="en-US"/>
        </w:rPr>
        <w:t> </w:t>
      </w:r>
      <w:hyperlink r:id="rId560" w:tooltip="Petroleum" w:history="1">
        <w:r w:rsidRPr="0068182D">
          <w:rPr>
            <w:rStyle w:val="a5"/>
            <w:color w:val="auto"/>
            <w:sz w:val="28"/>
            <w:szCs w:val="28"/>
            <w:u w:val="none"/>
            <w:lang w:val="en-US"/>
          </w:rPr>
          <w:t>oil</w:t>
        </w:r>
      </w:hyperlink>
      <w:r w:rsidRPr="0068182D">
        <w:rPr>
          <w:rStyle w:val="apple-converted-space"/>
          <w:sz w:val="28"/>
          <w:szCs w:val="28"/>
          <w:lang w:val="en-US"/>
        </w:rPr>
        <w:t> </w:t>
      </w:r>
      <w:r w:rsidRPr="0068182D">
        <w:rPr>
          <w:sz w:val="28"/>
          <w:szCs w:val="28"/>
          <w:lang w:val="en-US"/>
        </w:rPr>
        <w:t>companies. Tax rates for oil (per metric ton) are set by the government; its formula refers to world market prices (same for all domestic producers) and a "depletion factor", specific to each oil field. The latter has been regularly criticized as a source of corruption and unfair competitive advantage. New oil fields in</w:t>
      </w:r>
      <w:r w:rsidRPr="0068182D">
        <w:rPr>
          <w:rStyle w:val="apple-converted-space"/>
          <w:sz w:val="28"/>
          <w:szCs w:val="28"/>
          <w:lang w:val="en-US"/>
        </w:rPr>
        <w:t> </w:t>
      </w:r>
      <w:hyperlink r:id="rId561" w:tooltip="Sakha Republic" w:history="1">
        <w:r w:rsidRPr="0068182D">
          <w:rPr>
            <w:rStyle w:val="a5"/>
            <w:color w:val="auto"/>
            <w:sz w:val="28"/>
            <w:szCs w:val="28"/>
            <w:u w:val="none"/>
            <w:lang w:val="en-US"/>
          </w:rPr>
          <w:t>Sakha</w:t>
        </w:r>
      </w:hyperlink>
      <w:r w:rsidRPr="0068182D">
        <w:rPr>
          <w:sz w:val="28"/>
          <w:szCs w:val="28"/>
          <w:lang w:val="en-US"/>
        </w:rPr>
        <w:t>,</w:t>
      </w:r>
      <w:r w:rsidRPr="0068182D">
        <w:rPr>
          <w:rStyle w:val="apple-converted-space"/>
          <w:sz w:val="28"/>
          <w:szCs w:val="28"/>
          <w:lang w:val="en-US"/>
        </w:rPr>
        <w:t> </w:t>
      </w:r>
      <w:hyperlink r:id="rId562" w:tooltip="Irkutsk Oblast" w:history="1">
        <w:r w:rsidRPr="0068182D">
          <w:rPr>
            <w:rStyle w:val="a5"/>
            <w:color w:val="auto"/>
            <w:sz w:val="28"/>
            <w:szCs w:val="28"/>
            <w:u w:val="none"/>
            <w:lang w:val="en-US"/>
          </w:rPr>
          <w:t>Irkutsk Oblast</w:t>
        </w:r>
      </w:hyperlink>
      <w:r w:rsidRPr="0068182D">
        <w:rPr>
          <w:sz w:val="28"/>
          <w:szCs w:val="28"/>
          <w:lang w:val="en-US"/>
        </w:rPr>
        <w:t>,</w:t>
      </w:r>
      <w:r w:rsidRPr="0068182D">
        <w:rPr>
          <w:rStyle w:val="apple-converted-space"/>
          <w:sz w:val="28"/>
          <w:szCs w:val="28"/>
          <w:lang w:val="en-US"/>
        </w:rPr>
        <w:t> </w:t>
      </w:r>
      <w:hyperlink r:id="rId563" w:tooltip="Krasnoyarsk Krai" w:history="1">
        <w:r w:rsidRPr="0068182D">
          <w:rPr>
            <w:rStyle w:val="a5"/>
            <w:color w:val="auto"/>
            <w:sz w:val="28"/>
            <w:szCs w:val="28"/>
            <w:u w:val="none"/>
            <w:lang w:val="en-US"/>
          </w:rPr>
          <w:t>Krasnoyarsk Krai</w:t>
        </w:r>
      </w:hyperlink>
      <w:r w:rsidRPr="0068182D">
        <w:rPr>
          <w:rStyle w:val="apple-converted-space"/>
          <w:sz w:val="28"/>
          <w:szCs w:val="28"/>
          <w:lang w:val="en-US"/>
        </w:rPr>
        <w:t> </w:t>
      </w:r>
      <w:r w:rsidRPr="0068182D">
        <w:rPr>
          <w:sz w:val="28"/>
          <w:szCs w:val="28"/>
          <w:lang w:val="en-US"/>
        </w:rPr>
        <w:t>are exempt from MRET altogether.</w:t>
      </w:r>
      <w:r w:rsidR="009663D3" w:rsidRPr="0068182D">
        <w:rPr>
          <w:sz w:val="28"/>
          <w:szCs w:val="28"/>
          <w:lang w:val="en-US"/>
        </w:rPr>
        <w:t xml:space="preserve"> </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Rates for other mineral resources are set in the Code as a fixed percentage of their market value (from 3.8 percent for</w:t>
      </w:r>
      <w:r w:rsidRPr="0068182D">
        <w:rPr>
          <w:rStyle w:val="apple-converted-space"/>
          <w:sz w:val="28"/>
          <w:szCs w:val="28"/>
          <w:lang w:val="en-US"/>
        </w:rPr>
        <w:t> </w:t>
      </w:r>
      <w:hyperlink r:id="rId564" w:tooltip="Category:Potassium minerals" w:history="1">
        <w:r w:rsidRPr="0068182D">
          <w:rPr>
            <w:rStyle w:val="a5"/>
            <w:color w:val="auto"/>
            <w:sz w:val="28"/>
            <w:szCs w:val="28"/>
            <w:u w:val="none"/>
            <w:lang w:val="en-US"/>
          </w:rPr>
          <w:t>potassium salts</w:t>
        </w:r>
      </w:hyperlink>
      <w:r w:rsidRPr="0068182D">
        <w:rPr>
          <w:rStyle w:val="apple-converted-space"/>
          <w:sz w:val="28"/>
          <w:szCs w:val="28"/>
          <w:lang w:val="en-US"/>
        </w:rPr>
        <w:t> </w:t>
      </w:r>
      <w:r w:rsidRPr="0068182D">
        <w:rPr>
          <w:sz w:val="28"/>
          <w:szCs w:val="28"/>
          <w:lang w:val="en-US"/>
        </w:rPr>
        <w:t>to 17.5 percent for</w:t>
      </w:r>
      <w:r w:rsidRPr="0068182D">
        <w:rPr>
          <w:rStyle w:val="apple-converted-space"/>
          <w:sz w:val="28"/>
          <w:szCs w:val="28"/>
          <w:lang w:val="en-US"/>
        </w:rPr>
        <w:t> </w:t>
      </w:r>
      <w:hyperlink r:id="rId565" w:tooltip="Gas condensate" w:history="1">
        <w:r w:rsidRPr="0068182D">
          <w:rPr>
            <w:rStyle w:val="a5"/>
            <w:color w:val="auto"/>
            <w:sz w:val="28"/>
            <w:szCs w:val="28"/>
            <w:u w:val="none"/>
            <w:lang w:val="en-US"/>
          </w:rPr>
          <w:t>gas condensate</w:t>
        </w:r>
      </w:hyperlink>
      <w:r w:rsidRPr="0068182D">
        <w:rPr>
          <w:sz w:val="28"/>
          <w:szCs w:val="28"/>
          <w:lang w:val="en-US"/>
        </w:rPr>
        <w:t>) or, in case of natural gas, at a fixed amount per unit volume. The tax is paid monthly based on physically extracted tonnage, not sales. A related but separate</w:t>
      </w:r>
      <w:r w:rsidRPr="0068182D">
        <w:rPr>
          <w:rStyle w:val="apple-converted-space"/>
          <w:sz w:val="28"/>
          <w:szCs w:val="28"/>
          <w:lang w:val="en-US"/>
        </w:rPr>
        <w:t> </w:t>
      </w:r>
      <w:r w:rsidRPr="0068182D">
        <w:rPr>
          <w:b/>
          <w:bCs/>
          <w:sz w:val="28"/>
          <w:szCs w:val="28"/>
          <w:lang w:val="en-US"/>
        </w:rPr>
        <w:t>Water tax</w:t>
      </w:r>
      <w:r w:rsidRPr="0068182D">
        <w:rPr>
          <w:rStyle w:val="apple-converted-space"/>
          <w:sz w:val="28"/>
          <w:szCs w:val="28"/>
          <w:lang w:val="en-US"/>
        </w:rPr>
        <w:t> </w:t>
      </w:r>
      <w:r w:rsidRPr="0068182D">
        <w:rPr>
          <w:sz w:val="28"/>
          <w:szCs w:val="28"/>
          <w:lang w:val="en-US"/>
        </w:rPr>
        <w:t>is paid by organizations physically extracting surface or subterranean fresh water, as well as by</w:t>
      </w:r>
      <w:r w:rsidRPr="0068182D">
        <w:rPr>
          <w:rStyle w:val="apple-converted-space"/>
          <w:sz w:val="28"/>
          <w:szCs w:val="28"/>
          <w:lang w:val="en-US"/>
        </w:rPr>
        <w:t> </w:t>
      </w:r>
      <w:hyperlink r:id="rId566" w:tooltip="Hydroelectricity" w:history="1">
        <w:r w:rsidRPr="0068182D">
          <w:rPr>
            <w:rStyle w:val="a5"/>
            <w:color w:val="auto"/>
            <w:sz w:val="28"/>
            <w:szCs w:val="28"/>
            <w:u w:val="none"/>
            <w:lang w:val="en-US"/>
          </w:rPr>
          <w:t>hydroelectric powerplants</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567" w:tooltip="Timber rafting" w:history="1">
        <w:r w:rsidRPr="0068182D">
          <w:rPr>
            <w:rStyle w:val="a5"/>
            <w:color w:val="auto"/>
            <w:sz w:val="28"/>
            <w:szCs w:val="28"/>
            <w:u w:val="none"/>
            <w:lang w:val="en-US"/>
          </w:rPr>
          <w:t>timber rafting</w:t>
        </w:r>
      </w:hyperlink>
      <w:r w:rsidRPr="0068182D">
        <w:rPr>
          <w:rStyle w:val="apple-converted-space"/>
          <w:sz w:val="28"/>
          <w:szCs w:val="28"/>
          <w:lang w:val="en-US"/>
        </w:rPr>
        <w:t> </w:t>
      </w:r>
      <w:r w:rsidRPr="0068182D">
        <w:rPr>
          <w:sz w:val="28"/>
          <w:szCs w:val="28"/>
          <w:lang w:val="en-US"/>
        </w:rPr>
        <w:t>loggers.</w:t>
      </w:r>
      <w:r w:rsidRPr="0068182D">
        <w:rPr>
          <w:sz w:val="28"/>
          <w:szCs w:val="28"/>
          <w:vertAlign w:val="superscript"/>
          <w:lang w:val="en-US"/>
        </w:rPr>
        <w:t>[</w:t>
      </w:r>
      <w:hyperlink r:id="rId568" w:tooltip="Wikipedia:Citation needed" w:history="1">
        <w:r w:rsidRPr="0068182D">
          <w:rPr>
            <w:rStyle w:val="a5"/>
            <w:i/>
            <w:iCs/>
            <w:color w:val="auto"/>
            <w:sz w:val="28"/>
            <w:szCs w:val="28"/>
            <w:u w:val="none"/>
            <w:vertAlign w:val="superscript"/>
            <w:lang w:val="en-US"/>
          </w:rPr>
          <w:t>citation needed</w:t>
        </w:r>
      </w:hyperlink>
      <w:r w:rsidRPr="0068182D">
        <w:rPr>
          <w:sz w:val="28"/>
          <w:szCs w:val="28"/>
          <w:vertAlign w:val="superscript"/>
          <w:lang w:val="en-US"/>
        </w:rPr>
        <w:t>]</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b/>
          <w:bCs/>
          <w:sz w:val="28"/>
          <w:szCs w:val="28"/>
          <w:lang w:val="en-US"/>
        </w:rPr>
        <w:t>Corporate profit tax</w:t>
      </w:r>
      <w:r w:rsidRPr="0068182D">
        <w:rPr>
          <w:rStyle w:val="apple-converted-space"/>
          <w:sz w:val="28"/>
          <w:szCs w:val="28"/>
          <w:lang w:val="en-US"/>
        </w:rPr>
        <w:t> </w:t>
      </w:r>
      <w:r w:rsidRPr="0068182D">
        <w:rPr>
          <w:sz w:val="28"/>
          <w:szCs w:val="28"/>
          <w:lang w:val="en-US"/>
        </w:rPr>
        <w:t>is the largest source of regional revenues. The rate for 2009 is 20 percent on pre-tax profits, 2 percent to the federal budget and 18 percent to regional budgets. The rate decreased from 24 percent effective in 2001–2008 in the wake of the</w:t>
      </w:r>
      <w:r w:rsidRPr="0068182D">
        <w:rPr>
          <w:rStyle w:val="apple-converted-space"/>
          <w:sz w:val="28"/>
          <w:szCs w:val="28"/>
          <w:lang w:val="en-US"/>
        </w:rPr>
        <w:t> </w:t>
      </w:r>
      <w:hyperlink r:id="rId569" w:tooltip="2008 Russian financial crisis" w:history="1">
        <w:r w:rsidRPr="0068182D">
          <w:rPr>
            <w:rStyle w:val="a5"/>
            <w:color w:val="auto"/>
            <w:sz w:val="28"/>
            <w:szCs w:val="28"/>
            <w:u w:val="none"/>
            <w:lang w:val="en-US"/>
          </w:rPr>
          <w:t>2008 Russian financial crisis</w:t>
        </w:r>
      </w:hyperlink>
      <w:r w:rsidRPr="0068182D">
        <w:rPr>
          <w:sz w:val="28"/>
          <w:szCs w:val="28"/>
          <w:lang w:val="en-US"/>
        </w:rPr>
        <w:t>.</w:t>
      </w:r>
      <w:hyperlink r:id="rId570" w:anchor="cite_note-R20-31" w:history="1">
        <w:r w:rsidRPr="0068182D">
          <w:rPr>
            <w:rStyle w:val="a5"/>
            <w:color w:val="auto"/>
            <w:sz w:val="28"/>
            <w:szCs w:val="28"/>
            <w:u w:val="none"/>
            <w:vertAlign w:val="superscript"/>
            <w:lang w:val="en-US"/>
          </w:rPr>
          <w:t>[31]</w:t>
        </w:r>
      </w:hyperlink>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Expense deductibility limitations were gradually eliminated in the years following enactment of</w:t>
      </w:r>
      <w:r w:rsidRPr="0068182D">
        <w:rPr>
          <w:rStyle w:val="apple-converted-space"/>
          <w:sz w:val="28"/>
          <w:szCs w:val="28"/>
          <w:lang w:val="en-US"/>
        </w:rPr>
        <w:t> </w:t>
      </w:r>
      <w:r w:rsidRPr="0068182D">
        <w:rPr>
          <w:i/>
          <w:iCs/>
          <w:sz w:val="28"/>
          <w:szCs w:val="28"/>
          <w:lang w:val="en-US"/>
        </w:rPr>
        <w:t>Chapter 25</w:t>
      </w:r>
      <w:r w:rsidRPr="0068182D">
        <w:rPr>
          <w:sz w:val="28"/>
          <w:szCs w:val="28"/>
          <w:lang w:val="en-US"/>
        </w:rPr>
        <w:t>, and as of August, 2008 practically all business expenses are fully deductible. The Code retains a principal statement that deductible expenses must be "economically justified and properly evidenced with documents".</w:t>
      </w:r>
      <w:hyperlink r:id="rId571" w:anchor="cite_note-32" w:history="1">
        <w:r w:rsidRPr="0068182D">
          <w:rPr>
            <w:rStyle w:val="a5"/>
            <w:color w:val="auto"/>
            <w:sz w:val="28"/>
            <w:szCs w:val="28"/>
            <w:u w:val="none"/>
            <w:vertAlign w:val="superscript"/>
            <w:lang w:val="en-US"/>
          </w:rPr>
          <w:t>[32]</w:t>
        </w:r>
      </w:hyperlink>
      <w:r w:rsidRPr="0068182D">
        <w:rPr>
          <w:rStyle w:val="apple-converted-space"/>
          <w:sz w:val="28"/>
          <w:szCs w:val="28"/>
          <w:lang w:val="en-US"/>
        </w:rPr>
        <w:t> </w:t>
      </w:r>
      <w:r w:rsidRPr="0068182D">
        <w:rPr>
          <w:sz w:val="28"/>
          <w:szCs w:val="28"/>
          <w:lang w:val="en-US"/>
        </w:rPr>
        <w:t>The tax authorities manage the specifics. Taxpayers resolve disputes through court litigation; resolutions of upper-tier Arbitrage Courts, clarifying gray areas of tax accounting, form a separate layer of tax environment that augments the Code.</w:t>
      </w:r>
    </w:p>
    <w:p w:rsidR="004379E3" w:rsidRPr="0068182D" w:rsidRDefault="00CD577A" w:rsidP="00386344">
      <w:pPr>
        <w:pStyle w:val="a6"/>
        <w:shd w:val="clear" w:color="auto" w:fill="FFFFFF"/>
        <w:spacing w:before="0" w:beforeAutospacing="0" w:after="0" w:afterAutospacing="0"/>
        <w:ind w:firstLine="567"/>
        <w:jc w:val="both"/>
        <w:rPr>
          <w:sz w:val="28"/>
          <w:szCs w:val="28"/>
          <w:lang w:val="en-US"/>
        </w:rPr>
      </w:pPr>
      <w:hyperlink r:id="rId572" w:tooltip="Double taxation" w:history="1">
        <w:r w:rsidR="004379E3" w:rsidRPr="0068182D">
          <w:rPr>
            <w:rStyle w:val="a5"/>
            <w:color w:val="auto"/>
            <w:sz w:val="28"/>
            <w:szCs w:val="28"/>
            <w:u w:val="none"/>
            <w:lang w:val="en-US"/>
          </w:rPr>
          <w:t>Double taxation</w:t>
        </w:r>
      </w:hyperlink>
      <w:r w:rsidR="004379E3" w:rsidRPr="0068182D">
        <w:rPr>
          <w:rStyle w:val="apple-converted-space"/>
          <w:sz w:val="28"/>
          <w:szCs w:val="28"/>
          <w:lang w:val="en-US"/>
        </w:rPr>
        <w:t> </w:t>
      </w:r>
      <w:r w:rsidR="004379E3" w:rsidRPr="0068182D">
        <w:rPr>
          <w:sz w:val="28"/>
          <w:szCs w:val="28"/>
          <w:lang w:val="en-US"/>
        </w:rPr>
        <w:t>of</w:t>
      </w:r>
      <w:r w:rsidR="004379E3" w:rsidRPr="0068182D">
        <w:rPr>
          <w:rStyle w:val="apple-converted-space"/>
          <w:sz w:val="28"/>
          <w:szCs w:val="28"/>
          <w:lang w:val="en-US"/>
        </w:rPr>
        <w:t> </w:t>
      </w:r>
      <w:hyperlink r:id="rId573" w:tooltip="Dividend" w:history="1">
        <w:r w:rsidR="004379E3" w:rsidRPr="0068182D">
          <w:rPr>
            <w:rStyle w:val="a5"/>
            <w:color w:val="auto"/>
            <w:sz w:val="28"/>
            <w:szCs w:val="28"/>
            <w:u w:val="none"/>
            <w:lang w:val="en-US"/>
          </w:rPr>
          <w:t>dividends</w:t>
        </w:r>
      </w:hyperlink>
      <w:r w:rsidR="004379E3" w:rsidRPr="0068182D">
        <w:rPr>
          <w:rStyle w:val="apple-converted-space"/>
          <w:sz w:val="28"/>
          <w:szCs w:val="28"/>
          <w:lang w:val="en-US"/>
        </w:rPr>
        <w:t> </w:t>
      </w:r>
      <w:r w:rsidR="004379E3" w:rsidRPr="0068182D">
        <w:rPr>
          <w:sz w:val="28"/>
          <w:szCs w:val="28"/>
          <w:lang w:val="en-US"/>
        </w:rPr>
        <w:t>is completely eliminated when a Russian shareholder owns at least 50 percent of Russian or foreign</w:t>
      </w:r>
      <w:r w:rsidR="004379E3" w:rsidRPr="0068182D">
        <w:rPr>
          <w:rStyle w:val="apple-converted-space"/>
          <w:sz w:val="28"/>
          <w:szCs w:val="28"/>
          <w:lang w:val="en-US"/>
        </w:rPr>
        <w:t> </w:t>
      </w:r>
      <w:hyperlink r:id="rId574" w:tooltip="Subsidiary" w:history="1">
        <w:r w:rsidR="004379E3" w:rsidRPr="0068182D">
          <w:rPr>
            <w:rStyle w:val="a5"/>
            <w:color w:val="auto"/>
            <w:sz w:val="28"/>
            <w:szCs w:val="28"/>
            <w:u w:val="none"/>
            <w:lang w:val="en-US"/>
          </w:rPr>
          <w:t>subsidiary</w:t>
        </w:r>
      </w:hyperlink>
      <w:r w:rsidR="004379E3" w:rsidRPr="0068182D">
        <w:rPr>
          <w:rStyle w:val="apple-converted-space"/>
          <w:sz w:val="28"/>
          <w:szCs w:val="28"/>
          <w:lang w:val="en-US"/>
        </w:rPr>
        <w:t> </w:t>
      </w:r>
      <w:r w:rsidR="004379E3" w:rsidRPr="0068182D">
        <w:rPr>
          <w:sz w:val="28"/>
          <w:szCs w:val="28"/>
          <w:lang w:val="en-US"/>
        </w:rPr>
        <w:t>paying dividends (excluding foreign entities located in</w:t>
      </w:r>
      <w:r w:rsidR="004379E3" w:rsidRPr="0068182D">
        <w:rPr>
          <w:rStyle w:val="apple-converted-space"/>
          <w:sz w:val="28"/>
          <w:szCs w:val="28"/>
          <w:lang w:val="en-US"/>
        </w:rPr>
        <w:t> </w:t>
      </w:r>
      <w:hyperlink r:id="rId575" w:tooltip="Tax haven" w:history="1">
        <w:r w:rsidR="004379E3" w:rsidRPr="0068182D">
          <w:rPr>
            <w:rStyle w:val="a5"/>
            <w:color w:val="auto"/>
            <w:sz w:val="28"/>
            <w:szCs w:val="28"/>
            <w:u w:val="none"/>
            <w:lang w:val="en-US"/>
          </w:rPr>
          <w:t>tax haven</w:t>
        </w:r>
      </w:hyperlink>
      <w:r w:rsidR="004379E3" w:rsidRPr="0068182D">
        <w:rPr>
          <w:rStyle w:val="apple-converted-space"/>
          <w:sz w:val="28"/>
          <w:szCs w:val="28"/>
          <w:lang w:val="en-US"/>
        </w:rPr>
        <w:t> </w:t>
      </w:r>
      <w:r w:rsidR="004379E3" w:rsidRPr="0068182D">
        <w:rPr>
          <w:sz w:val="28"/>
          <w:szCs w:val="28"/>
          <w:lang w:val="en-US"/>
        </w:rPr>
        <w:t>jurisdictions) for at least 365 days</w:t>
      </w:r>
      <w:r w:rsidR="004379E3" w:rsidRPr="0068182D">
        <w:rPr>
          <w:rStyle w:val="apple-converted-space"/>
          <w:sz w:val="28"/>
          <w:szCs w:val="28"/>
          <w:lang w:val="en-US"/>
        </w:rPr>
        <w:t> </w:t>
      </w:r>
      <w:r w:rsidR="004379E3" w:rsidRPr="0068182D">
        <w:rPr>
          <w:i/>
          <w:iCs/>
          <w:sz w:val="28"/>
          <w:szCs w:val="28"/>
          <w:lang w:val="en-US"/>
        </w:rPr>
        <w:t>and</w:t>
      </w:r>
      <w:r w:rsidR="004379E3" w:rsidRPr="0068182D">
        <w:rPr>
          <w:rStyle w:val="apple-converted-space"/>
          <w:sz w:val="28"/>
          <w:szCs w:val="28"/>
          <w:lang w:val="en-US"/>
        </w:rPr>
        <w:t> </w:t>
      </w:r>
      <w:r w:rsidR="004379E3" w:rsidRPr="0068182D">
        <w:rPr>
          <w:sz w:val="28"/>
          <w:szCs w:val="28"/>
          <w:lang w:val="en-US"/>
        </w:rPr>
        <w:t>the investment is worth more than 500 million roubles. All other dividends received by Russian shareholders are subject to 13 percent tax,</w:t>
      </w:r>
      <w:r w:rsidR="004379E3" w:rsidRPr="0068182D">
        <w:rPr>
          <w:rStyle w:val="apple-converted-space"/>
          <w:sz w:val="28"/>
          <w:szCs w:val="28"/>
          <w:lang w:val="en-US"/>
        </w:rPr>
        <w:t> </w:t>
      </w:r>
      <w:r w:rsidR="004379E3" w:rsidRPr="0068182D">
        <w:rPr>
          <w:sz w:val="28"/>
          <w:szCs w:val="28"/>
          <w:lang w:val="en-US"/>
        </w:rPr>
        <w:t>up from 9% before 2015.</w:t>
      </w:r>
      <w:r w:rsidR="00386344" w:rsidRPr="0068182D">
        <w:rPr>
          <w:sz w:val="28"/>
          <w:szCs w:val="28"/>
          <w:lang w:val="en-US"/>
        </w:rPr>
        <w:t xml:space="preserve"> </w:t>
      </w:r>
    </w:p>
    <w:p w:rsidR="004379E3" w:rsidRPr="0068182D" w:rsidRDefault="00CD577A" w:rsidP="00386344">
      <w:pPr>
        <w:pStyle w:val="a6"/>
        <w:shd w:val="clear" w:color="auto" w:fill="FFFFFF"/>
        <w:spacing w:before="0" w:beforeAutospacing="0" w:after="0" w:afterAutospacing="0"/>
        <w:ind w:firstLine="567"/>
        <w:jc w:val="both"/>
        <w:rPr>
          <w:sz w:val="28"/>
          <w:szCs w:val="28"/>
          <w:lang w:val="en-US"/>
        </w:rPr>
      </w:pPr>
      <w:hyperlink r:id="rId576" w:tooltip="Excise tax" w:history="1">
        <w:r w:rsidR="004379E3" w:rsidRPr="0068182D">
          <w:rPr>
            <w:rStyle w:val="a5"/>
            <w:b/>
            <w:bCs/>
            <w:color w:val="auto"/>
            <w:sz w:val="28"/>
            <w:szCs w:val="28"/>
            <w:u w:val="none"/>
            <w:lang w:val="en-US"/>
          </w:rPr>
          <w:t>Excise tax</w:t>
        </w:r>
      </w:hyperlink>
      <w:r w:rsidR="004379E3" w:rsidRPr="0068182D">
        <w:rPr>
          <w:rStyle w:val="apple-converted-space"/>
          <w:sz w:val="28"/>
          <w:szCs w:val="28"/>
          <w:lang w:val="en-US"/>
        </w:rPr>
        <w:t> </w:t>
      </w:r>
      <w:r w:rsidR="004379E3" w:rsidRPr="0068182D">
        <w:rPr>
          <w:sz w:val="28"/>
          <w:szCs w:val="28"/>
          <w:lang w:val="en-US"/>
        </w:rPr>
        <w:t>is levied on manufacturers of raw and refined</w:t>
      </w:r>
      <w:r w:rsidR="004379E3" w:rsidRPr="0068182D">
        <w:rPr>
          <w:rStyle w:val="apple-converted-space"/>
          <w:sz w:val="28"/>
          <w:szCs w:val="28"/>
          <w:lang w:val="en-US"/>
        </w:rPr>
        <w:t> </w:t>
      </w:r>
      <w:hyperlink r:id="rId577" w:tooltip="Alcohol" w:history="1">
        <w:r w:rsidR="004379E3" w:rsidRPr="0068182D">
          <w:rPr>
            <w:rStyle w:val="a5"/>
            <w:color w:val="auto"/>
            <w:sz w:val="28"/>
            <w:szCs w:val="28"/>
            <w:u w:val="none"/>
            <w:lang w:val="en-US"/>
          </w:rPr>
          <w:t>alcohol</w:t>
        </w:r>
      </w:hyperlink>
      <w:r w:rsidR="004379E3" w:rsidRPr="0068182D">
        <w:rPr>
          <w:sz w:val="28"/>
          <w:szCs w:val="28"/>
          <w:lang w:val="en-US"/>
        </w:rPr>
        <w:t>, alcoholic drinks stronger than 1.5 percent by volume, including</w:t>
      </w:r>
      <w:r w:rsidR="004379E3" w:rsidRPr="0068182D">
        <w:rPr>
          <w:rStyle w:val="apple-converted-space"/>
          <w:sz w:val="28"/>
          <w:szCs w:val="28"/>
          <w:lang w:val="en-US"/>
        </w:rPr>
        <w:t> </w:t>
      </w:r>
      <w:hyperlink r:id="rId578" w:tooltip="Beer" w:history="1">
        <w:r w:rsidR="004379E3" w:rsidRPr="0068182D">
          <w:rPr>
            <w:rStyle w:val="a5"/>
            <w:color w:val="auto"/>
            <w:sz w:val="28"/>
            <w:szCs w:val="28"/>
            <w:u w:val="none"/>
            <w:lang w:val="en-US"/>
          </w:rPr>
          <w:t>beer</w:t>
        </w:r>
      </w:hyperlink>
      <w:r w:rsidR="004379E3" w:rsidRPr="0068182D">
        <w:rPr>
          <w:sz w:val="28"/>
          <w:szCs w:val="28"/>
          <w:lang w:val="en-US"/>
        </w:rPr>
        <w:t>;</w:t>
      </w:r>
      <w:r w:rsidR="004379E3" w:rsidRPr="0068182D">
        <w:rPr>
          <w:rStyle w:val="apple-converted-space"/>
          <w:sz w:val="28"/>
          <w:szCs w:val="28"/>
          <w:lang w:val="en-US"/>
        </w:rPr>
        <w:t> </w:t>
      </w:r>
      <w:hyperlink r:id="rId579" w:tooltip="Gasoline" w:history="1">
        <w:r w:rsidR="004379E3" w:rsidRPr="0068182D">
          <w:rPr>
            <w:rStyle w:val="a5"/>
            <w:color w:val="auto"/>
            <w:sz w:val="28"/>
            <w:szCs w:val="28"/>
            <w:u w:val="none"/>
            <w:lang w:val="en-US"/>
          </w:rPr>
          <w:t>gasoline</w:t>
        </w:r>
      </w:hyperlink>
      <w:r w:rsidR="004379E3" w:rsidRPr="0068182D">
        <w:rPr>
          <w:rStyle w:val="apple-converted-space"/>
          <w:sz w:val="28"/>
          <w:szCs w:val="28"/>
          <w:lang w:val="en-US"/>
        </w:rPr>
        <w:t> </w:t>
      </w:r>
      <w:r w:rsidR="004379E3" w:rsidRPr="0068182D">
        <w:rPr>
          <w:sz w:val="28"/>
          <w:szCs w:val="28"/>
          <w:lang w:val="en-US"/>
        </w:rPr>
        <w:t>and</w:t>
      </w:r>
      <w:r w:rsidR="004379E3" w:rsidRPr="0068182D">
        <w:rPr>
          <w:rStyle w:val="apple-converted-space"/>
          <w:sz w:val="28"/>
          <w:szCs w:val="28"/>
          <w:lang w:val="en-US"/>
        </w:rPr>
        <w:t> </w:t>
      </w:r>
      <w:hyperlink r:id="rId580" w:tooltip="Diesel fuel" w:history="1">
        <w:r w:rsidR="004379E3" w:rsidRPr="0068182D">
          <w:rPr>
            <w:rStyle w:val="a5"/>
            <w:color w:val="auto"/>
            <w:sz w:val="28"/>
            <w:szCs w:val="28"/>
            <w:u w:val="none"/>
            <w:lang w:val="en-US"/>
          </w:rPr>
          <w:t>diesel fuel</w:t>
        </w:r>
      </w:hyperlink>
      <w:r w:rsidR="004379E3" w:rsidRPr="0068182D">
        <w:rPr>
          <w:sz w:val="28"/>
          <w:szCs w:val="28"/>
          <w:lang w:val="en-US"/>
        </w:rPr>
        <w:t>, motor oils; passenger cars and</w:t>
      </w:r>
      <w:r w:rsidR="004379E3" w:rsidRPr="0068182D">
        <w:rPr>
          <w:rStyle w:val="apple-converted-space"/>
          <w:sz w:val="28"/>
          <w:szCs w:val="28"/>
          <w:lang w:val="en-US"/>
        </w:rPr>
        <w:t> </w:t>
      </w:r>
      <w:hyperlink r:id="rId581" w:tooltip="Motorcycles" w:history="1">
        <w:r w:rsidR="004379E3" w:rsidRPr="0068182D">
          <w:rPr>
            <w:rStyle w:val="a5"/>
            <w:color w:val="auto"/>
            <w:sz w:val="28"/>
            <w:szCs w:val="28"/>
            <w:u w:val="none"/>
            <w:lang w:val="en-US"/>
          </w:rPr>
          <w:t>motorcycles</w:t>
        </w:r>
      </w:hyperlink>
      <w:r w:rsidR="004379E3" w:rsidRPr="0068182D">
        <w:rPr>
          <w:rStyle w:val="apple-converted-space"/>
          <w:sz w:val="28"/>
          <w:szCs w:val="28"/>
          <w:lang w:val="en-US"/>
        </w:rPr>
        <w:t> </w:t>
      </w:r>
      <w:r w:rsidR="004379E3" w:rsidRPr="0068182D">
        <w:rPr>
          <w:sz w:val="28"/>
          <w:szCs w:val="28"/>
          <w:lang w:val="en-US"/>
        </w:rPr>
        <w:t>with engines in excess of 150</w:t>
      </w:r>
      <w:r w:rsidR="004379E3" w:rsidRPr="0068182D">
        <w:rPr>
          <w:rStyle w:val="apple-converted-space"/>
          <w:sz w:val="28"/>
          <w:szCs w:val="28"/>
          <w:lang w:val="en-US"/>
        </w:rPr>
        <w:t> </w:t>
      </w:r>
      <w:hyperlink r:id="rId582" w:tooltip="Horsepower" w:history="1">
        <w:r w:rsidR="004379E3" w:rsidRPr="0068182D">
          <w:rPr>
            <w:rStyle w:val="a5"/>
            <w:color w:val="auto"/>
            <w:sz w:val="28"/>
            <w:szCs w:val="28"/>
            <w:u w:val="none"/>
            <w:lang w:val="en-US"/>
          </w:rPr>
          <w:t>h.p.</w:t>
        </w:r>
      </w:hyperlink>
      <w:r w:rsidR="004379E3" w:rsidRPr="0068182D">
        <w:rPr>
          <w:sz w:val="28"/>
          <w:szCs w:val="28"/>
          <w:lang w:val="en-US"/>
        </w:rPr>
        <w:t>;</w:t>
      </w:r>
      <w:r w:rsidR="004379E3" w:rsidRPr="0068182D">
        <w:rPr>
          <w:rStyle w:val="apple-converted-space"/>
          <w:sz w:val="28"/>
          <w:szCs w:val="28"/>
          <w:lang w:val="en-US"/>
        </w:rPr>
        <w:t> </w:t>
      </w:r>
      <w:hyperlink r:id="rId583" w:tooltip="Tobacco" w:history="1">
        <w:r w:rsidR="004379E3" w:rsidRPr="0068182D">
          <w:rPr>
            <w:rStyle w:val="a5"/>
            <w:color w:val="auto"/>
            <w:sz w:val="28"/>
            <w:szCs w:val="28"/>
            <w:u w:val="none"/>
            <w:lang w:val="en-US"/>
          </w:rPr>
          <w:t>tobacco</w:t>
        </w:r>
      </w:hyperlink>
      <w:r w:rsidR="004379E3" w:rsidRPr="0068182D">
        <w:rPr>
          <w:rStyle w:val="apple-converted-space"/>
          <w:sz w:val="28"/>
          <w:szCs w:val="28"/>
          <w:lang w:val="en-US"/>
        </w:rPr>
        <w:t> </w:t>
      </w:r>
      <w:r w:rsidR="004379E3" w:rsidRPr="0068182D">
        <w:rPr>
          <w:sz w:val="28"/>
          <w:szCs w:val="28"/>
          <w:lang w:val="en-US"/>
        </w:rPr>
        <w:t>products. The Code specifies strict licensing rules for oil</w:t>
      </w:r>
      <w:r w:rsidR="004379E3" w:rsidRPr="0068182D">
        <w:rPr>
          <w:rStyle w:val="apple-converted-space"/>
          <w:sz w:val="28"/>
          <w:szCs w:val="28"/>
          <w:lang w:val="en-US"/>
        </w:rPr>
        <w:t> </w:t>
      </w:r>
      <w:hyperlink r:id="rId584" w:tooltip="Oil Refinery" w:history="1">
        <w:r w:rsidR="004379E3" w:rsidRPr="0068182D">
          <w:rPr>
            <w:rStyle w:val="a5"/>
            <w:color w:val="auto"/>
            <w:sz w:val="28"/>
            <w:szCs w:val="28"/>
            <w:u w:val="none"/>
            <w:lang w:val="en-US"/>
          </w:rPr>
          <w:t>refineries</w:t>
        </w:r>
      </w:hyperlink>
      <w:r w:rsidR="004379E3" w:rsidRPr="0068182D">
        <w:rPr>
          <w:rStyle w:val="apple-converted-space"/>
          <w:sz w:val="28"/>
          <w:szCs w:val="28"/>
          <w:lang w:val="en-US"/>
        </w:rPr>
        <w:t> </w:t>
      </w:r>
      <w:r w:rsidR="004379E3" w:rsidRPr="0068182D">
        <w:rPr>
          <w:sz w:val="28"/>
          <w:szCs w:val="28"/>
          <w:lang w:val="en-US"/>
        </w:rPr>
        <w:t>and alcohol</w:t>
      </w:r>
      <w:r w:rsidR="004379E3" w:rsidRPr="0068182D">
        <w:rPr>
          <w:rStyle w:val="apple-converted-space"/>
          <w:sz w:val="28"/>
          <w:szCs w:val="28"/>
          <w:lang w:val="en-US"/>
        </w:rPr>
        <w:t> </w:t>
      </w:r>
      <w:hyperlink r:id="rId585" w:tooltip="Distiller" w:history="1">
        <w:r w:rsidR="004379E3" w:rsidRPr="0068182D">
          <w:rPr>
            <w:rStyle w:val="a5"/>
            <w:color w:val="auto"/>
            <w:sz w:val="28"/>
            <w:szCs w:val="28"/>
            <w:u w:val="none"/>
            <w:lang w:val="en-US"/>
          </w:rPr>
          <w:t>distillers</w:t>
        </w:r>
      </w:hyperlink>
      <w:r w:rsidR="004379E3" w:rsidRPr="0068182D">
        <w:rPr>
          <w:sz w:val="28"/>
          <w:szCs w:val="28"/>
          <w:lang w:val="en-US"/>
        </w:rPr>
        <w:t>. Rates increased until 2010; by 2010, excise taxes of a typical cigarette pack will reach 15–30 percent, which is less than its European counterpart.</w:t>
      </w:r>
      <w:r w:rsidR="00386344" w:rsidRPr="0068182D">
        <w:rPr>
          <w:sz w:val="28"/>
          <w:szCs w:val="28"/>
          <w:lang w:val="en-US"/>
        </w:rPr>
        <w:t xml:space="preserve"> </w:t>
      </w:r>
      <w:r w:rsidR="004379E3" w:rsidRPr="0068182D">
        <w:rPr>
          <w:sz w:val="28"/>
          <w:szCs w:val="28"/>
          <w:lang w:val="en-US"/>
        </w:rPr>
        <w:t>Since 2007, cigarettes have been taxed based on a percentage of manufacturers'</w:t>
      </w:r>
      <w:r w:rsidR="004379E3" w:rsidRPr="0068182D">
        <w:rPr>
          <w:rStyle w:val="apple-converted-space"/>
          <w:sz w:val="28"/>
          <w:szCs w:val="28"/>
          <w:lang w:val="en-US"/>
        </w:rPr>
        <w:t> </w:t>
      </w:r>
      <w:hyperlink r:id="rId586" w:tooltip="Suggested retail price" w:history="1">
        <w:r w:rsidR="004379E3" w:rsidRPr="0068182D">
          <w:rPr>
            <w:rStyle w:val="a5"/>
            <w:color w:val="auto"/>
            <w:sz w:val="28"/>
            <w:szCs w:val="28"/>
            <w:u w:val="none"/>
            <w:lang w:val="en-US"/>
          </w:rPr>
          <w:t>suggested retail price</w:t>
        </w:r>
      </w:hyperlink>
      <w:r w:rsidR="004379E3" w:rsidRPr="0068182D">
        <w:rPr>
          <w:rStyle w:val="apple-converted-space"/>
          <w:sz w:val="28"/>
          <w:szCs w:val="28"/>
          <w:lang w:val="en-US"/>
        </w:rPr>
        <w:t> </w:t>
      </w:r>
      <w:r w:rsidR="004379E3" w:rsidRPr="0068182D">
        <w:rPr>
          <w:sz w:val="28"/>
          <w:szCs w:val="28"/>
          <w:lang w:val="en-US"/>
        </w:rPr>
        <w:t>(MSRP).</w:t>
      </w:r>
      <w:r w:rsidR="00386344" w:rsidRPr="0068182D">
        <w:rPr>
          <w:sz w:val="28"/>
          <w:szCs w:val="28"/>
          <w:lang w:val="en-US"/>
        </w:rPr>
        <w:t xml:space="preserve"> </w:t>
      </w:r>
      <w:r w:rsidR="004379E3" w:rsidRPr="0068182D">
        <w:rPr>
          <w:sz w:val="28"/>
          <w:szCs w:val="28"/>
          <w:lang w:val="en-US"/>
        </w:rPr>
        <w:t>This approach made MSRP mandatory and quickly led to government-induced retail</w:t>
      </w:r>
      <w:r w:rsidR="004379E3" w:rsidRPr="0068182D">
        <w:rPr>
          <w:rStyle w:val="apple-converted-space"/>
          <w:sz w:val="28"/>
          <w:szCs w:val="28"/>
          <w:lang w:val="en-US"/>
        </w:rPr>
        <w:t> </w:t>
      </w:r>
      <w:hyperlink r:id="rId587" w:tooltip="Price fixing" w:history="1">
        <w:r w:rsidR="004379E3" w:rsidRPr="0068182D">
          <w:rPr>
            <w:rStyle w:val="a5"/>
            <w:color w:val="auto"/>
            <w:sz w:val="28"/>
            <w:szCs w:val="28"/>
            <w:u w:val="none"/>
            <w:lang w:val="en-US"/>
          </w:rPr>
          <w:t>price fixing</w:t>
        </w:r>
      </w:hyperlink>
      <w:r w:rsidR="004379E3" w:rsidRPr="0068182D">
        <w:rPr>
          <w:sz w:val="28"/>
          <w:szCs w:val="28"/>
          <w:lang w:val="en-US"/>
        </w:rPr>
        <w:t>.</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b/>
          <w:bCs/>
          <w:sz w:val="28"/>
          <w:szCs w:val="28"/>
          <w:lang w:val="en-US"/>
        </w:rPr>
        <w:t>Unified social tax</w:t>
      </w:r>
      <w:r w:rsidRPr="0068182D">
        <w:rPr>
          <w:rStyle w:val="apple-converted-space"/>
          <w:sz w:val="28"/>
          <w:szCs w:val="28"/>
          <w:lang w:val="en-US"/>
        </w:rPr>
        <w:t> </w:t>
      </w:r>
      <w:r w:rsidRPr="0068182D">
        <w:rPr>
          <w:sz w:val="28"/>
          <w:szCs w:val="28"/>
          <w:lang w:val="en-US"/>
        </w:rPr>
        <w:t>is accrued on all employer-to-employee payments which are deductible for profit tax purposes; non-deductible payments like</w:t>
      </w:r>
      <w:r w:rsidRPr="0068182D">
        <w:rPr>
          <w:rStyle w:val="apple-converted-space"/>
          <w:sz w:val="28"/>
          <w:szCs w:val="28"/>
          <w:lang w:val="en-US"/>
        </w:rPr>
        <w:t> </w:t>
      </w:r>
      <w:hyperlink r:id="rId588" w:tooltip="Dividends" w:history="1">
        <w:r w:rsidRPr="0068182D">
          <w:rPr>
            <w:rStyle w:val="a5"/>
            <w:color w:val="auto"/>
            <w:sz w:val="28"/>
            <w:szCs w:val="28"/>
            <w:u w:val="none"/>
            <w:lang w:val="en-US"/>
          </w:rPr>
          <w:t>dividends</w:t>
        </w:r>
      </w:hyperlink>
      <w:r w:rsidRPr="0068182D">
        <w:rPr>
          <w:rStyle w:val="apple-converted-space"/>
          <w:sz w:val="28"/>
          <w:szCs w:val="28"/>
          <w:lang w:val="en-US"/>
        </w:rPr>
        <w:t> </w:t>
      </w:r>
      <w:r w:rsidRPr="0068182D">
        <w:rPr>
          <w:sz w:val="28"/>
          <w:szCs w:val="28"/>
          <w:lang w:val="en-US"/>
        </w:rPr>
        <w:t>or</w:t>
      </w:r>
      <w:r w:rsidRPr="0068182D">
        <w:rPr>
          <w:rStyle w:val="apple-converted-space"/>
          <w:sz w:val="28"/>
          <w:szCs w:val="28"/>
          <w:lang w:val="en-US"/>
        </w:rPr>
        <w:t> </w:t>
      </w:r>
      <w:hyperlink r:id="rId589" w:tooltip="Charity (practice)" w:history="1">
        <w:r w:rsidRPr="0068182D">
          <w:rPr>
            <w:rStyle w:val="a5"/>
            <w:color w:val="auto"/>
            <w:sz w:val="28"/>
            <w:szCs w:val="28"/>
            <w:u w:val="none"/>
            <w:lang w:val="en-US"/>
          </w:rPr>
          <w:t>charity</w:t>
        </w:r>
      </w:hyperlink>
      <w:r w:rsidRPr="0068182D">
        <w:rPr>
          <w:rStyle w:val="apple-converted-space"/>
          <w:sz w:val="28"/>
          <w:szCs w:val="28"/>
          <w:lang w:val="en-US"/>
        </w:rPr>
        <w:t> </w:t>
      </w:r>
      <w:r w:rsidRPr="0068182D">
        <w:rPr>
          <w:sz w:val="28"/>
          <w:szCs w:val="28"/>
          <w:lang w:val="en-US"/>
        </w:rPr>
        <w:t>are not subject to UST.</w:t>
      </w:r>
      <w:r w:rsidR="00FF2DA0" w:rsidRPr="0068182D">
        <w:rPr>
          <w:sz w:val="28"/>
          <w:szCs w:val="28"/>
          <w:lang w:val="en-US"/>
        </w:rPr>
        <w:t xml:space="preserve"> </w:t>
      </w:r>
      <w:r w:rsidRPr="0068182D">
        <w:rPr>
          <w:sz w:val="28"/>
          <w:szCs w:val="28"/>
          <w:lang w:val="en-US"/>
        </w:rPr>
        <w:t>Pensions,</w:t>
      </w:r>
      <w:r w:rsidRPr="0068182D">
        <w:rPr>
          <w:rStyle w:val="apple-converted-space"/>
          <w:sz w:val="28"/>
          <w:szCs w:val="28"/>
          <w:lang w:val="en-US"/>
        </w:rPr>
        <w:t> </w:t>
      </w:r>
      <w:hyperlink r:id="rId590" w:tooltip="Severance pay" w:history="1">
        <w:r w:rsidRPr="0068182D">
          <w:rPr>
            <w:rStyle w:val="a5"/>
            <w:color w:val="auto"/>
            <w:sz w:val="28"/>
            <w:szCs w:val="28"/>
            <w:u w:val="none"/>
            <w:lang w:val="en-US"/>
          </w:rPr>
          <w:t>severance pay</w:t>
        </w:r>
      </w:hyperlink>
      <w:r w:rsidRPr="0068182D">
        <w:rPr>
          <w:sz w:val="28"/>
          <w:szCs w:val="28"/>
          <w:lang w:val="en-US"/>
        </w:rPr>
        <w:t>, and travel expenses are not taxable. The schedule is regressive: annual income up to 280,000 roubles is taxed at 26 percent; marginal rate for income above 600,000 roubles is 2 percent. Rates in agriculture and in special high</w:t>
      </w:r>
      <w:r w:rsidRPr="0068182D">
        <w:rPr>
          <w:rStyle w:val="apple-converted-space"/>
          <w:sz w:val="28"/>
          <w:szCs w:val="28"/>
          <w:lang w:val="en-US"/>
        </w:rPr>
        <w:t> </w:t>
      </w:r>
      <w:hyperlink r:id="rId591" w:tooltip="Technology park" w:history="1">
        <w:r w:rsidRPr="0068182D">
          <w:rPr>
            <w:rStyle w:val="a5"/>
            <w:color w:val="auto"/>
            <w:sz w:val="28"/>
            <w:szCs w:val="28"/>
            <w:u w:val="none"/>
            <w:lang w:val="en-US"/>
          </w:rPr>
          <w:t>technology parks</w:t>
        </w:r>
      </w:hyperlink>
      <w:r w:rsidRPr="0068182D">
        <w:rPr>
          <w:rStyle w:val="apple-converted-space"/>
          <w:sz w:val="28"/>
          <w:szCs w:val="28"/>
          <w:lang w:val="en-US"/>
        </w:rPr>
        <w:t> </w:t>
      </w:r>
      <w:r w:rsidRPr="0068182D">
        <w:rPr>
          <w:sz w:val="28"/>
          <w:szCs w:val="28"/>
          <w:lang w:val="en-US"/>
        </w:rPr>
        <w:t>are lower. Note that a significant part of mandatory contributions to Pension Fund is not included in UST.</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Pension Fund deficits</w:t>
      </w:r>
      <w:r w:rsidR="00386344" w:rsidRPr="0068182D">
        <w:rPr>
          <w:sz w:val="28"/>
          <w:szCs w:val="28"/>
          <w:lang w:val="en-US"/>
        </w:rPr>
        <w:t xml:space="preserve"> </w:t>
      </w:r>
      <w:r w:rsidRPr="0068182D">
        <w:rPr>
          <w:sz w:val="28"/>
          <w:szCs w:val="28"/>
          <w:lang w:val="en-US"/>
        </w:rPr>
        <w:t>have caused calls to increase UST rates or switch from regressive to flat rates. A proposal for a flat UST was initiated in July 2008 by</w:t>
      </w:r>
      <w:r w:rsidRPr="0068182D">
        <w:rPr>
          <w:rStyle w:val="apple-converted-space"/>
          <w:sz w:val="28"/>
          <w:szCs w:val="28"/>
          <w:lang w:val="en-US"/>
        </w:rPr>
        <w:t> </w:t>
      </w:r>
      <w:hyperlink r:id="rId592" w:tooltip="INSOR" w:history="1">
        <w:r w:rsidRPr="0068182D">
          <w:rPr>
            <w:rStyle w:val="a5"/>
            <w:color w:val="auto"/>
            <w:sz w:val="28"/>
            <w:szCs w:val="28"/>
            <w:u w:val="none"/>
            <w:lang w:val="en-US"/>
          </w:rPr>
          <w:t>INSOR</w:t>
        </w:r>
      </w:hyperlink>
      <w:r w:rsidRPr="0068182D">
        <w:rPr>
          <w:sz w:val="28"/>
          <w:szCs w:val="28"/>
          <w:lang w:val="en-US"/>
        </w:rPr>
        <w:t>,</w:t>
      </w:r>
      <w:r w:rsidRPr="0068182D">
        <w:rPr>
          <w:rStyle w:val="apple-converted-space"/>
          <w:sz w:val="28"/>
          <w:szCs w:val="28"/>
          <w:lang w:val="en-US"/>
        </w:rPr>
        <w:t> </w:t>
      </w:r>
      <w:hyperlink r:id="rId593" w:tooltip="Dmitry Medvedev" w:history="1">
        <w:r w:rsidRPr="0068182D">
          <w:rPr>
            <w:rStyle w:val="a5"/>
            <w:color w:val="auto"/>
            <w:sz w:val="28"/>
            <w:szCs w:val="28"/>
            <w:u w:val="none"/>
            <w:lang w:val="en-US"/>
          </w:rPr>
          <w:t>Dmitry Medvedev</w:t>
        </w:r>
      </w:hyperlink>
      <w:r w:rsidRPr="0068182D">
        <w:rPr>
          <w:sz w:val="28"/>
          <w:szCs w:val="28"/>
          <w:lang w:val="en-US"/>
        </w:rPr>
        <w:t>'s</w:t>
      </w:r>
      <w:r w:rsidRPr="0068182D">
        <w:rPr>
          <w:rStyle w:val="apple-converted-space"/>
          <w:sz w:val="28"/>
          <w:szCs w:val="28"/>
          <w:lang w:val="en-US"/>
        </w:rPr>
        <w:t> </w:t>
      </w:r>
      <w:hyperlink r:id="rId594" w:tooltip="Think tank" w:history="1">
        <w:r w:rsidRPr="0068182D">
          <w:rPr>
            <w:rStyle w:val="a5"/>
            <w:color w:val="auto"/>
            <w:sz w:val="28"/>
            <w:szCs w:val="28"/>
            <w:u w:val="none"/>
            <w:lang w:val="en-US"/>
          </w:rPr>
          <w:t>think tank</w:t>
        </w:r>
      </w:hyperlink>
      <w:hyperlink r:id="rId595" w:anchor="cite_note-39" w:history="1">
        <w:r w:rsidRPr="0068182D">
          <w:rPr>
            <w:rStyle w:val="a5"/>
            <w:color w:val="auto"/>
            <w:sz w:val="28"/>
            <w:szCs w:val="28"/>
            <w:u w:val="none"/>
            <w:vertAlign w:val="superscript"/>
            <w:lang w:val="en-US"/>
          </w:rPr>
          <w:t>[39]</w:t>
        </w:r>
      </w:hyperlink>
      <w:hyperlink r:id="rId596" w:anchor="cite_note-40" w:history="1">
        <w:r w:rsidRPr="0068182D">
          <w:rPr>
            <w:rStyle w:val="a5"/>
            <w:color w:val="auto"/>
            <w:sz w:val="28"/>
            <w:szCs w:val="28"/>
            <w:u w:val="none"/>
            <w:vertAlign w:val="superscript"/>
            <w:lang w:val="en-US"/>
          </w:rPr>
          <w:t>[40]</w:t>
        </w:r>
      </w:hyperlink>
      <w:r w:rsidRPr="0068182D">
        <w:rPr>
          <w:rStyle w:val="apple-converted-space"/>
          <w:sz w:val="28"/>
          <w:szCs w:val="28"/>
          <w:lang w:val="en-US"/>
        </w:rPr>
        <w:t> </w:t>
      </w:r>
      <w:r w:rsidRPr="0068182D">
        <w:rPr>
          <w:sz w:val="28"/>
          <w:szCs w:val="28"/>
          <w:lang w:val="en-US"/>
        </w:rPr>
        <w:t>and further detailed in Putin's proposals made October 1, 2008.</w:t>
      </w:r>
      <w:r w:rsidR="00386344" w:rsidRPr="0068182D">
        <w:rPr>
          <w:sz w:val="28"/>
          <w:szCs w:val="28"/>
          <w:lang w:val="en-US"/>
        </w:rPr>
        <w:t xml:space="preserve"> </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Workplace accident insurance, enacted later, is not part of UST or the Tax Code. Each employer must contribute to group accident insurance. The rate varies between 0.2 percent and 8.5 percent, depending on the type of business. The rate for trading companies is 0.2 percent and for transportation companies 0.7 percent.</w:t>
      </w:r>
      <w:r w:rsidR="00386344" w:rsidRPr="0068182D">
        <w:rPr>
          <w:sz w:val="28"/>
          <w:szCs w:val="28"/>
          <w:lang w:val="en-US"/>
        </w:rPr>
        <w:t xml:space="preserve"> </w:t>
      </w:r>
    </w:p>
    <w:p w:rsidR="004379E3" w:rsidRPr="0068182D" w:rsidRDefault="00CD577A" w:rsidP="00386344">
      <w:pPr>
        <w:pStyle w:val="a6"/>
        <w:shd w:val="clear" w:color="auto" w:fill="FFFFFF"/>
        <w:spacing w:before="0" w:beforeAutospacing="0" w:after="0" w:afterAutospacing="0"/>
        <w:ind w:firstLine="567"/>
        <w:jc w:val="both"/>
        <w:rPr>
          <w:sz w:val="28"/>
          <w:szCs w:val="28"/>
          <w:lang w:val="en-US"/>
        </w:rPr>
      </w:pPr>
      <w:hyperlink r:id="rId597" w:tooltip="Income Tax" w:history="1">
        <w:r w:rsidR="004379E3" w:rsidRPr="0068182D">
          <w:rPr>
            <w:rStyle w:val="a5"/>
            <w:b/>
            <w:bCs/>
            <w:color w:val="auto"/>
            <w:sz w:val="28"/>
            <w:szCs w:val="28"/>
            <w:u w:val="none"/>
            <w:lang w:val="en-US"/>
          </w:rPr>
          <w:t>Personal income tax</w:t>
        </w:r>
      </w:hyperlink>
      <w:r w:rsidR="004379E3" w:rsidRPr="0068182D">
        <w:rPr>
          <w:rStyle w:val="apple-converted-space"/>
          <w:sz w:val="28"/>
          <w:szCs w:val="28"/>
          <w:lang w:val="en-US"/>
        </w:rPr>
        <w:t> </w:t>
      </w:r>
      <w:r w:rsidR="004379E3" w:rsidRPr="0068182D">
        <w:rPr>
          <w:sz w:val="28"/>
          <w:szCs w:val="28"/>
          <w:lang w:val="en-US"/>
        </w:rPr>
        <w:t>is levied individually normally at 13 percent. There is no</w:t>
      </w:r>
      <w:r w:rsidR="004379E3" w:rsidRPr="0068182D">
        <w:rPr>
          <w:rStyle w:val="apple-converted-space"/>
          <w:sz w:val="28"/>
          <w:szCs w:val="28"/>
          <w:lang w:val="en-US"/>
        </w:rPr>
        <w:t> </w:t>
      </w:r>
      <w:hyperlink r:id="rId598" w:tooltip="Filing Status (federal income tax)" w:history="1">
        <w:r w:rsidR="004379E3" w:rsidRPr="0068182D">
          <w:rPr>
            <w:rStyle w:val="a5"/>
            <w:color w:val="auto"/>
            <w:sz w:val="28"/>
            <w:szCs w:val="28"/>
            <w:u w:val="none"/>
            <w:lang w:val="en-US"/>
          </w:rPr>
          <w:t>joint filing</w:t>
        </w:r>
      </w:hyperlink>
      <w:r w:rsidR="004379E3" w:rsidRPr="0068182D">
        <w:rPr>
          <w:sz w:val="28"/>
          <w:szCs w:val="28"/>
          <w:lang w:val="en-US"/>
        </w:rPr>
        <w:t>. Employers withhold income taxes, thus the taxpayers whose only taxable income was paid by employer do not need to file a tax return—except to claim a refund for</w:t>
      </w:r>
      <w:r w:rsidR="004379E3" w:rsidRPr="0068182D">
        <w:rPr>
          <w:rStyle w:val="apple-converted-space"/>
          <w:sz w:val="28"/>
          <w:szCs w:val="28"/>
          <w:lang w:val="en-US"/>
        </w:rPr>
        <w:t> </w:t>
      </w:r>
      <w:hyperlink r:id="rId599" w:tooltip="Itemized deductions" w:history="1">
        <w:r w:rsidR="004379E3" w:rsidRPr="0068182D">
          <w:rPr>
            <w:rStyle w:val="a5"/>
            <w:color w:val="auto"/>
            <w:sz w:val="28"/>
            <w:szCs w:val="28"/>
            <w:u w:val="none"/>
            <w:lang w:val="en-US"/>
          </w:rPr>
          <w:t>itemized deductions</w:t>
        </w:r>
      </w:hyperlink>
      <w:r w:rsidR="004379E3" w:rsidRPr="0068182D">
        <w:rPr>
          <w:sz w:val="28"/>
          <w:szCs w:val="28"/>
          <w:lang w:val="en-US"/>
        </w:rPr>
        <w:t>. The most important deductions are for home purchase (once a life), and education and medical expenses. Deductions require documentation and are subject to limitations. Tax returns are mandatory for registered entrepreneurs and professionals (lawyers,</w:t>
      </w:r>
      <w:r w:rsidR="004379E3" w:rsidRPr="0068182D">
        <w:rPr>
          <w:rStyle w:val="apple-converted-space"/>
          <w:sz w:val="28"/>
          <w:szCs w:val="28"/>
          <w:lang w:val="en-US"/>
        </w:rPr>
        <w:t> </w:t>
      </w:r>
      <w:hyperlink r:id="rId600" w:tooltip="Notary" w:history="1">
        <w:r w:rsidR="004379E3" w:rsidRPr="0068182D">
          <w:rPr>
            <w:rStyle w:val="a5"/>
            <w:color w:val="auto"/>
            <w:sz w:val="28"/>
            <w:szCs w:val="28"/>
            <w:u w:val="none"/>
            <w:lang w:val="en-US"/>
          </w:rPr>
          <w:t>notaries</w:t>
        </w:r>
      </w:hyperlink>
      <w:r w:rsidR="004379E3" w:rsidRPr="0068182D">
        <w:rPr>
          <w:sz w:val="28"/>
          <w:szCs w:val="28"/>
          <w:lang w:val="en-US"/>
        </w:rPr>
        <w:t>, etc.), sellers of personal assets and recipients of other income. Out of 10.4 million registered residents of Moscow, only 94 thousand filed tax 2006 returns and 105 thousand filed for 2007.</w:t>
      </w:r>
      <w:r w:rsidR="004379E3" w:rsidRPr="0068182D">
        <w:rPr>
          <w:rStyle w:val="apple-converted-space"/>
          <w:sz w:val="28"/>
          <w:szCs w:val="28"/>
          <w:lang w:val="en-US"/>
        </w:rPr>
        <w:t> </w:t>
      </w:r>
      <w:r w:rsidR="004379E3" w:rsidRPr="0068182D">
        <w:rPr>
          <w:sz w:val="28"/>
          <w:szCs w:val="28"/>
          <w:lang w:val="en-US"/>
        </w:rPr>
        <w:t>State pensions and</w:t>
      </w:r>
      <w:r w:rsidR="004379E3" w:rsidRPr="0068182D">
        <w:rPr>
          <w:rStyle w:val="apple-converted-space"/>
          <w:sz w:val="28"/>
          <w:szCs w:val="28"/>
          <w:lang w:val="en-US"/>
        </w:rPr>
        <w:t> </w:t>
      </w:r>
      <w:hyperlink r:id="rId601" w:tooltip="Alimony" w:history="1">
        <w:r w:rsidR="004379E3" w:rsidRPr="0068182D">
          <w:rPr>
            <w:rStyle w:val="a5"/>
            <w:color w:val="auto"/>
            <w:sz w:val="28"/>
            <w:szCs w:val="28"/>
            <w:u w:val="none"/>
            <w:lang w:val="en-US"/>
          </w:rPr>
          <w:t>alimony</w:t>
        </w:r>
      </w:hyperlink>
      <w:r w:rsidR="004379E3" w:rsidRPr="0068182D">
        <w:rPr>
          <w:rStyle w:val="apple-converted-space"/>
          <w:sz w:val="28"/>
          <w:szCs w:val="28"/>
          <w:lang w:val="en-US"/>
        </w:rPr>
        <w:t> </w:t>
      </w:r>
      <w:r w:rsidR="004379E3" w:rsidRPr="0068182D">
        <w:rPr>
          <w:sz w:val="28"/>
          <w:szCs w:val="28"/>
          <w:lang w:val="en-US"/>
        </w:rPr>
        <w:t>are normally not taxable, as well as bank interest (unless it exceeds the</w:t>
      </w:r>
      <w:r w:rsidR="004379E3" w:rsidRPr="0068182D">
        <w:rPr>
          <w:rStyle w:val="apple-converted-space"/>
          <w:sz w:val="28"/>
          <w:szCs w:val="28"/>
          <w:lang w:val="en-US"/>
        </w:rPr>
        <w:t> </w:t>
      </w:r>
      <w:hyperlink r:id="rId602" w:tooltip="Refinancing rate (page does not exist)" w:history="1">
        <w:r w:rsidR="004379E3" w:rsidRPr="0068182D">
          <w:rPr>
            <w:rStyle w:val="a5"/>
            <w:color w:val="auto"/>
            <w:sz w:val="28"/>
            <w:szCs w:val="28"/>
            <w:u w:val="none"/>
            <w:lang w:val="en-US"/>
          </w:rPr>
          <w:t>refinancing rate</w:t>
        </w:r>
      </w:hyperlink>
      <w:r w:rsidR="004379E3" w:rsidRPr="0068182D">
        <w:rPr>
          <w:rStyle w:val="apple-converted-space"/>
          <w:sz w:val="28"/>
          <w:szCs w:val="28"/>
          <w:lang w:val="en-US"/>
        </w:rPr>
        <w:t> </w:t>
      </w:r>
      <w:r w:rsidR="004379E3" w:rsidRPr="0068182D">
        <w:rPr>
          <w:sz w:val="28"/>
          <w:szCs w:val="28"/>
          <w:lang w:val="en-US"/>
        </w:rPr>
        <w:t>set by</w:t>
      </w:r>
      <w:r w:rsidR="004379E3" w:rsidRPr="0068182D">
        <w:rPr>
          <w:rStyle w:val="apple-converted-space"/>
          <w:sz w:val="28"/>
          <w:szCs w:val="28"/>
          <w:lang w:val="en-US"/>
        </w:rPr>
        <w:t> </w:t>
      </w:r>
      <w:hyperlink r:id="rId603" w:tooltip="Central Bank of Russia" w:history="1">
        <w:r w:rsidR="004379E3" w:rsidRPr="0068182D">
          <w:rPr>
            <w:rStyle w:val="a5"/>
            <w:color w:val="auto"/>
            <w:sz w:val="28"/>
            <w:szCs w:val="28"/>
            <w:u w:val="none"/>
            <w:lang w:val="en-US"/>
          </w:rPr>
          <w:t>Central Bank of Russia</w:t>
        </w:r>
      </w:hyperlink>
      <w:r w:rsidR="004379E3" w:rsidRPr="0068182D">
        <w:rPr>
          <w:sz w:val="28"/>
          <w:szCs w:val="28"/>
          <w:lang w:val="en-US"/>
        </w:rPr>
        <w:t>).</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Capital gains from asset sales are taxable only if the seller owned the asset for less than 3 years. A special tax rate of 35 percent applies to lottery and gambling wins and excess of bank interest received over the threshold interest computed using refinancing rate. Interest rates are usually below the threshold, making interest tax free.</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Withholdings are remitted to the employer's registered region, rather than the employee's. The governments of</w:t>
      </w:r>
      <w:r w:rsidRPr="0068182D">
        <w:rPr>
          <w:rStyle w:val="apple-converted-space"/>
          <w:sz w:val="28"/>
          <w:szCs w:val="28"/>
          <w:lang w:val="en-US"/>
        </w:rPr>
        <w:t> </w:t>
      </w:r>
      <w:hyperlink r:id="rId604" w:tooltip="Moscow Oblast" w:history="1">
        <w:r w:rsidRPr="0068182D">
          <w:rPr>
            <w:rStyle w:val="a5"/>
            <w:color w:val="auto"/>
            <w:sz w:val="28"/>
            <w:szCs w:val="28"/>
            <w:u w:val="none"/>
            <w:lang w:val="en-US"/>
          </w:rPr>
          <w:t>Moscow Oblast</w:t>
        </w:r>
      </w:hyperlink>
      <w:r w:rsidRPr="0068182D">
        <w:rPr>
          <w:sz w:val="28"/>
          <w:szCs w:val="28"/>
          <w:lang w:val="en-US"/>
        </w:rPr>
        <w:t>,</w:t>
      </w:r>
      <w:r w:rsidRPr="0068182D">
        <w:rPr>
          <w:rStyle w:val="apple-converted-space"/>
          <w:sz w:val="28"/>
          <w:szCs w:val="28"/>
          <w:lang w:val="en-US"/>
        </w:rPr>
        <w:t> </w:t>
      </w:r>
      <w:hyperlink r:id="rId605" w:tooltip="Tver Oblast" w:history="1">
        <w:r w:rsidRPr="0068182D">
          <w:rPr>
            <w:rStyle w:val="a5"/>
            <w:color w:val="auto"/>
            <w:sz w:val="28"/>
            <w:szCs w:val="28"/>
            <w:u w:val="none"/>
            <w:lang w:val="en-US"/>
          </w:rPr>
          <w:t>Tver Oblast</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606" w:tooltip="Leningrad Oblast" w:history="1">
        <w:r w:rsidRPr="0068182D">
          <w:rPr>
            <w:rStyle w:val="a5"/>
            <w:color w:val="auto"/>
            <w:sz w:val="28"/>
            <w:szCs w:val="28"/>
            <w:u w:val="none"/>
            <w:lang w:val="en-US"/>
          </w:rPr>
          <w:t>Leningrad Oblast</w:t>
        </w:r>
      </w:hyperlink>
      <w:r w:rsidRPr="0068182D">
        <w:rPr>
          <w:rStyle w:val="apple-converted-space"/>
          <w:sz w:val="28"/>
          <w:szCs w:val="28"/>
          <w:lang w:val="en-US"/>
        </w:rPr>
        <w:t> </w:t>
      </w:r>
      <w:r w:rsidRPr="0068182D">
        <w:rPr>
          <w:sz w:val="28"/>
          <w:szCs w:val="28"/>
          <w:lang w:val="en-US"/>
        </w:rPr>
        <w:t>object to this policy. They are net exporters of suburban manpower to Moscow and Saint Petersburg. In March 2008 Moscow Oblast initiated a federal bill intended to change the system in favor of suburban territories.</w:t>
      </w:r>
      <w:r w:rsidR="00386344" w:rsidRPr="0068182D">
        <w:rPr>
          <w:sz w:val="28"/>
          <w:szCs w:val="28"/>
          <w:lang w:val="en-US"/>
        </w:rPr>
        <w:t xml:space="preserve"> </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b/>
          <w:bCs/>
          <w:sz w:val="28"/>
          <w:szCs w:val="28"/>
          <w:lang w:val="en-US"/>
        </w:rPr>
        <w:t>Other federal taxes</w:t>
      </w:r>
      <w:r w:rsidRPr="0068182D">
        <w:rPr>
          <w:rStyle w:val="apple-converted-space"/>
          <w:sz w:val="28"/>
          <w:szCs w:val="28"/>
          <w:lang w:val="en-US"/>
        </w:rPr>
        <w:t> </w:t>
      </w:r>
      <w:r w:rsidRPr="0068182D">
        <w:rPr>
          <w:sz w:val="28"/>
          <w:szCs w:val="28"/>
          <w:lang w:val="en-US"/>
        </w:rPr>
        <w:t>prescribed by the Code include a</w:t>
      </w:r>
      <w:r w:rsidRPr="0068182D">
        <w:rPr>
          <w:rStyle w:val="apple-converted-space"/>
          <w:sz w:val="28"/>
          <w:szCs w:val="28"/>
          <w:lang w:val="en-US"/>
        </w:rPr>
        <w:t> </w:t>
      </w:r>
      <w:r w:rsidRPr="0068182D">
        <w:rPr>
          <w:b/>
          <w:bCs/>
          <w:sz w:val="28"/>
          <w:szCs w:val="28"/>
          <w:lang w:val="en-US"/>
        </w:rPr>
        <w:t>tax on animal and water wildlife</w:t>
      </w:r>
      <w:r w:rsidRPr="0068182D">
        <w:rPr>
          <w:sz w:val="28"/>
          <w:szCs w:val="28"/>
          <w:lang w:val="en-US"/>
        </w:rPr>
        <w:t>, levied upon licensed hunters and fisheries, and a document tax (</w:t>
      </w:r>
      <w:hyperlink r:id="rId607" w:tooltip="Stamp duty" w:history="1">
        <w:r w:rsidRPr="0068182D">
          <w:rPr>
            <w:rStyle w:val="a5"/>
            <w:b/>
            <w:bCs/>
            <w:color w:val="auto"/>
            <w:sz w:val="28"/>
            <w:szCs w:val="28"/>
            <w:u w:val="none"/>
            <w:lang w:val="en-US"/>
          </w:rPr>
          <w:t>stamp duty</w:t>
        </w:r>
      </w:hyperlink>
      <w:r w:rsidRPr="0068182D">
        <w:rPr>
          <w:sz w:val="28"/>
          <w:szCs w:val="28"/>
          <w:lang w:val="en-US"/>
        </w:rPr>
        <w:t>), most notably the</w:t>
      </w:r>
      <w:r w:rsidRPr="0068182D">
        <w:rPr>
          <w:rStyle w:val="apple-converted-space"/>
          <w:sz w:val="28"/>
          <w:szCs w:val="28"/>
          <w:lang w:val="en-US"/>
        </w:rPr>
        <w:t> </w:t>
      </w:r>
      <w:hyperlink r:id="rId608" w:tooltip="Ad valorem" w:history="1">
        <w:r w:rsidRPr="0068182D">
          <w:rPr>
            <w:rStyle w:val="a5"/>
            <w:color w:val="auto"/>
            <w:sz w:val="28"/>
            <w:szCs w:val="28"/>
            <w:u w:val="none"/>
            <w:lang w:val="en-US"/>
          </w:rPr>
          <w:t>ad valorem</w:t>
        </w:r>
      </w:hyperlink>
      <w:r w:rsidRPr="0068182D">
        <w:rPr>
          <w:rStyle w:val="apple-converted-space"/>
          <w:sz w:val="28"/>
          <w:szCs w:val="28"/>
          <w:lang w:val="en-US"/>
        </w:rPr>
        <w:t> </w:t>
      </w:r>
      <w:r w:rsidRPr="0068182D">
        <w:rPr>
          <w:sz w:val="28"/>
          <w:szCs w:val="28"/>
          <w:lang w:val="en-US"/>
        </w:rPr>
        <w:t>duty required to start</w:t>
      </w:r>
      <w:r w:rsidRPr="0068182D">
        <w:rPr>
          <w:rStyle w:val="apple-converted-space"/>
          <w:sz w:val="28"/>
          <w:szCs w:val="28"/>
          <w:lang w:val="en-US"/>
        </w:rPr>
        <w:t> </w:t>
      </w:r>
      <w:hyperlink r:id="rId609" w:tooltip="Civil litigation" w:history="1">
        <w:r w:rsidRPr="0068182D">
          <w:rPr>
            <w:rStyle w:val="a5"/>
            <w:color w:val="auto"/>
            <w:sz w:val="28"/>
            <w:szCs w:val="28"/>
            <w:u w:val="none"/>
            <w:lang w:val="en-US"/>
          </w:rPr>
          <w:t>civil litigation</w:t>
        </w:r>
      </w:hyperlink>
      <w:r w:rsidRPr="0068182D">
        <w:rPr>
          <w:rStyle w:val="apple-converted-space"/>
          <w:sz w:val="28"/>
          <w:szCs w:val="28"/>
          <w:lang w:val="en-US"/>
        </w:rPr>
        <w:t> </w:t>
      </w:r>
      <w:r w:rsidRPr="0068182D">
        <w:rPr>
          <w:sz w:val="28"/>
          <w:szCs w:val="28"/>
          <w:lang w:val="en-US"/>
        </w:rPr>
        <w:t>in state courts.</w:t>
      </w:r>
    </w:p>
    <w:p w:rsidR="004379E3" w:rsidRPr="0068182D" w:rsidRDefault="004379E3" w:rsidP="00386344">
      <w:pPr>
        <w:pStyle w:val="2"/>
        <w:pBdr>
          <w:bottom w:val="single" w:sz="6" w:space="0" w:color="A2A9B1"/>
        </w:pBdr>
        <w:shd w:val="clear" w:color="auto" w:fill="FFFFFF"/>
        <w:spacing w:before="0" w:beforeAutospacing="0" w:after="0" w:afterAutospacing="0"/>
        <w:ind w:firstLine="567"/>
        <w:jc w:val="both"/>
        <w:rPr>
          <w:b w:val="0"/>
          <w:bCs w:val="0"/>
          <w:sz w:val="28"/>
          <w:szCs w:val="28"/>
          <w:lang w:val="en-US"/>
        </w:rPr>
      </w:pPr>
      <w:r w:rsidRPr="0068182D">
        <w:rPr>
          <w:rStyle w:val="mw-headline"/>
          <w:b w:val="0"/>
          <w:bCs w:val="0"/>
          <w:sz w:val="28"/>
          <w:szCs w:val="28"/>
          <w:lang w:val="en-US"/>
        </w:rPr>
        <w:t>Regional and local taxes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All regional and local taxes in Russia are</w:t>
      </w:r>
      <w:r w:rsidRPr="0068182D">
        <w:rPr>
          <w:rStyle w:val="apple-converted-space"/>
          <w:sz w:val="28"/>
          <w:szCs w:val="28"/>
          <w:lang w:val="en-US"/>
        </w:rPr>
        <w:t> </w:t>
      </w:r>
      <w:hyperlink r:id="rId610" w:tooltip="Asset" w:history="1">
        <w:r w:rsidRPr="0068182D">
          <w:rPr>
            <w:rStyle w:val="a5"/>
            <w:color w:val="auto"/>
            <w:sz w:val="28"/>
            <w:szCs w:val="28"/>
            <w:u w:val="none"/>
            <w:lang w:val="en-US"/>
          </w:rPr>
          <w:t>asset</w:t>
        </w:r>
      </w:hyperlink>
      <w:r w:rsidRPr="0068182D">
        <w:rPr>
          <w:sz w:val="28"/>
          <w:szCs w:val="28"/>
          <w:lang w:val="en-US"/>
        </w:rPr>
        <w:t>-related:</w:t>
      </w:r>
      <w:r w:rsidRPr="0068182D">
        <w:rPr>
          <w:rStyle w:val="apple-converted-space"/>
          <w:sz w:val="28"/>
          <w:szCs w:val="28"/>
          <w:lang w:val="en-US"/>
        </w:rPr>
        <w:t> </w:t>
      </w:r>
      <w:hyperlink r:id="rId611" w:tooltip="Property tax" w:history="1">
        <w:r w:rsidRPr="0068182D">
          <w:rPr>
            <w:rStyle w:val="a5"/>
            <w:color w:val="auto"/>
            <w:sz w:val="28"/>
            <w:szCs w:val="28"/>
            <w:u w:val="none"/>
            <w:lang w:val="en-US"/>
          </w:rPr>
          <w:t>property tax</w:t>
        </w:r>
      </w:hyperlink>
      <w:r w:rsidRPr="0068182D">
        <w:rPr>
          <w:sz w:val="28"/>
          <w:szCs w:val="28"/>
          <w:lang w:val="en-US"/>
        </w:rPr>
        <w:t>,</w:t>
      </w:r>
      <w:r w:rsidRPr="0068182D">
        <w:rPr>
          <w:rStyle w:val="apple-converted-space"/>
          <w:sz w:val="28"/>
          <w:szCs w:val="28"/>
          <w:lang w:val="en-US"/>
        </w:rPr>
        <w:t> </w:t>
      </w:r>
      <w:hyperlink r:id="rId612" w:tooltip="Vehicle tax (page does not exist)" w:history="1">
        <w:r w:rsidRPr="0068182D">
          <w:rPr>
            <w:rStyle w:val="a5"/>
            <w:color w:val="auto"/>
            <w:sz w:val="28"/>
            <w:szCs w:val="28"/>
            <w:u w:val="none"/>
            <w:lang w:val="en-US"/>
          </w:rPr>
          <w:t>vehicle tax</w:t>
        </w:r>
      </w:hyperlink>
      <w:r w:rsidRPr="0068182D">
        <w:rPr>
          <w:sz w:val="28"/>
          <w:szCs w:val="28"/>
          <w:lang w:val="en-US"/>
        </w:rPr>
        <w:t>,</w:t>
      </w:r>
      <w:r w:rsidRPr="0068182D">
        <w:rPr>
          <w:rStyle w:val="apple-converted-space"/>
          <w:sz w:val="28"/>
          <w:szCs w:val="28"/>
          <w:lang w:val="en-US"/>
        </w:rPr>
        <w:t> </w:t>
      </w:r>
      <w:hyperlink r:id="rId613" w:tooltip="Land tax" w:history="1">
        <w:r w:rsidRPr="0068182D">
          <w:rPr>
            <w:rStyle w:val="a5"/>
            <w:color w:val="auto"/>
            <w:sz w:val="28"/>
            <w:szCs w:val="28"/>
            <w:u w:val="none"/>
            <w:lang w:val="en-US"/>
          </w:rPr>
          <w:t>land tax</w:t>
        </w:r>
      </w:hyperlink>
      <w:r w:rsidRPr="0068182D">
        <w:rPr>
          <w:rStyle w:val="apple-converted-space"/>
          <w:sz w:val="28"/>
          <w:szCs w:val="28"/>
          <w:lang w:val="en-US"/>
        </w:rPr>
        <w:t> </w:t>
      </w:r>
      <w:r w:rsidRPr="0068182D">
        <w:rPr>
          <w:sz w:val="28"/>
          <w:szCs w:val="28"/>
          <w:lang w:val="en-US"/>
        </w:rPr>
        <w:t>and tax on gambling businesses. These taxes are assessed and paid</w:t>
      </w:r>
      <w:r w:rsidRPr="0068182D">
        <w:rPr>
          <w:rStyle w:val="apple-converted-space"/>
          <w:sz w:val="28"/>
          <w:szCs w:val="28"/>
          <w:lang w:val="en-US"/>
        </w:rPr>
        <w:t> </w:t>
      </w:r>
      <w:hyperlink r:id="rId614" w:tooltip="In re" w:history="1">
        <w:r w:rsidRPr="0068182D">
          <w:rPr>
            <w:rStyle w:val="a5"/>
            <w:i/>
            <w:iCs/>
            <w:color w:val="auto"/>
            <w:sz w:val="28"/>
            <w:szCs w:val="28"/>
            <w:u w:val="none"/>
            <w:lang w:val="en-US"/>
          </w:rPr>
          <w:t>in re</w:t>
        </w:r>
      </w:hyperlink>
      <w:r w:rsidRPr="0068182D">
        <w:rPr>
          <w:sz w:val="28"/>
          <w:szCs w:val="28"/>
          <w:lang w:val="en-US"/>
        </w:rPr>
        <w:t>. Exact rates are set by regional (property, vehicles, gambling) or municipal (land) legislators within the Code's framework.</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b/>
          <w:bCs/>
          <w:sz w:val="28"/>
          <w:szCs w:val="28"/>
          <w:lang w:val="en-US"/>
        </w:rPr>
        <w:t>Land tax</w:t>
      </w:r>
      <w:r w:rsidRPr="0068182D">
        <w:rPr>
          <w:rStyle w:val="apple-converted-space"/>
          <w:sz w:val="28"/>
          <w:szCs w:val="28"/>
          <w:lang w:val="en-US"/>
        </w:rPr>
        <w:t> </w:t>
      </w:r>
      <w:r w:rsidRPr="0068182D">
        <w:rPr>
          <w:sz w:val="28"/>
          <w:szCs w:val="28"/>
          <w:lang w:val="en-US"/>
        </w:rPr>
        <w:t>is the only</w:t>
      </w:r>
      <w:r w:rsidRPr="0068182D">
        <w:rPr>
          <w:rStyle w:val="apple-converted-space"/>
          <w:sz w:val="28"/>
          <w:szCs w:val="28"/>
          <w:lang w:val="en-US"/>
        </w:rPr>
        <w:t> </w:t>
      </w:r>
      <w:r w:rsidRPr="0068182D">
        <w:rPr>
          <w:i/>
          <w:iCs/>
          <w:sz w:val="28"/>
          <w:szCs w:val="28"/>
          <w:lang w:val="en-US"/>
        </w:rPr>
        <w:t>local tax</w:t>
      </w:r>
      <w:r w:rsidRPr="0068182D">
        <w:rPr>
          <w:rStyle w:val="apple-converted-space"/>
          <w:sz w:val="28"/>
          <w:szCs w:val="28"/>
          <w:lang w:val="en-US"/>
        </w:rPr>
        <w:t> </w:t>
      </w:r>
      <w:r w:rsidRPr="0068182D">
        <w:rPr>
          <w:sz w:val="28"/>
          <w:szCs w:val="28"/>
          <w:lang w:val="en-US"/>
        </w:rPr>
        <w:t>in Russia: its rates are set by municipal authorities (excluding the</w:t>
      </w:r>
      <w:r w:rsidRPr="0068182D">
        <w:rPr>
          <w:rStyle w:val="apple-converted-space"/>
          <w:sz w:val="28"/>
          <w:szCs w:val="28"/>
          <w:lang w:val="en-US"/>
        </w:rPr>
        <w:t> </w:t>
      </w:r>
      <w:hyperlink r:id="rId615" w:tooltip="Federal cities of Russia" w:history="1">
        <w:r w:rsidRPr="0068182D">
          <w:rPr>
            <w:rStyle w:val="a5"/>
            <w:color w:val="auto"/>
            <w:sz w:val="28"/>
            <w:szCs w:val="28"/>
            <w:u w:val="none"/>
            <w:lang w:val="en-US"/>
          </w:rPr>
          <w:t>federal cities</w:t>
        </w:r>
      </w:hyperlink>
      <w:r w:rsidRPr="0068182D">
        <w:rPr>
          <w:rStyle w:val="apple-converted-space"/>
          <w:sz w:val="28"/>
          <w:szCs w:val="28"/>
          <w:lang w:val="en-US"/>
        </w:rPr>
        <w:t> </w:t>
      </w:r>
      <w:r w:rsidRPr="0068182D">
        <w:rPr>
          <w:sz w:val="28"/>
          <w:szCs w:val="28"/>
          <w:lang w:val="en-US"/>
        </w:rPr>
        <w:t>of</w:t>
      </w:r>
      <w:r w:rsidRPr="0068182D">
        <w:rPr>
          <w:rStyle w:val="apple-converted-space"/>
          <w:sz w:val="28"/>
          <w:szCs w:val="28"/>
          <w:lang w:val="en-US"/>
        </w:rPr>
        <w:t> </w:t>
      </w:r>
      <w:hyperlink r:id="rId616" w:tooltip="Moscow" w:history="1">
        <w:r w:rsidRPr="0068182D">
          <w:rPr>
            <w:rStyle w:val="a5"/>
            <w:color w:val="auto"/>
            <w:sz w:val="28"/>
            <w:szCs w:val="28"/>
            <w:u w:val="none"/>
            <w:lang w:val="en-US"/>
          </w:rPr>
          <w:t>Moscow</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617" w:tooltip="Saint Petersburg" w:history="1">
        <w:r w:rsidRPr="0068182D">
          <w:rPr>
            <w:rStyle w:val="a5"/>
            <w:color w:val="auto"/>
            <w:sz w:val="28"/>
            <w:szCs w:val="28"/>
            <w:u w:val="none"/>
            <w:lang w:val="en-US"/>
          </w:rPr>
          <w:t>Saint Petersburg</w:t>
        </w:r>
      </w:hyperlink>
      <w:r w:rsidRPr="0068182D">
        <w:rPr>
          <w:sz w:val="28"/>
          <w:szCs w:val="28"/>
          <w:lang w:val="en-US"/>
        </w:rPr>
        <w:t>, where the rates are set by city legislators). The maximum rate is 0.3 percent on lands</w:t>
      </w:r>
      <w:r w:rsidRPr="0068182D">
        <w:rPr>
          <w:rStyle w:val="apple-converted-space"/>
          <w:sz w:val="28"/>
          <w:szCs w:val="28"/>
          <w:lang w:val="en-US"/>
        </w:rPr>
        <w:t> </w:t>
      </w:r>
      <w:hyperlink r:id="rId618" w:tooltip="Zoning" w:history="1">
        <w:r w:rsidRPr="0068182D">
          <w:rPr>
            <w:rStyle w:val="a5"/>
            <w:color w:val="auto"/>
            <w:sz w:val="28"/>
            <w:szCs w:val="28"/>
            <w:u w:val="none"/>
            <w:lang w:val="en-US"/>
          </w:rPr>
          <w:t>zoned</w:t>
        </w:r>
      </w:hyperlink>
      <w:r w:rsidRPr="0068182D">
        <w:rPr>
          <w:rStyle w:val="apple-converted-space"/>
          <w:sz w:val="28"/>
          <w:szCs w:val="28"/>
          <w:lang w:val="en-US"/>
        </w:rPr>
        <w:t> </w:t>
      </w:r>
      <w:r w:rsidRPr="0068182D">
        <w:rPr>
          <w:sz w:val="28"/>
          <w:szCs w:val="28"/>
          <w:lang w:val="en-US"/>
        </w:rPr>
        <w:t>for agriculture, housing and</w:t>
      </w:r>
      <w:r w:rsidRPr="0068182D">
        <w:rPr>
          <w:rStyle w:val="apple-converted-space"/>
          <w:sz w:val="28"/>
          <w:szCs w:val="28"/>
          <w:lang w:val="en-US"/>
        </w:rPr>
        <w:t> </w:t>
      </w:r>
      <w:hyperlink r:id="rId619" w:tooltip="Dacha" w:history="1">
        <w:r w:rsidRPr="0068182D">
          <w:rPr>
            <w:rStyle w:val="a5"/>
            <w:color w:val="auto"/>
            <w:sz w:val="28"/>
            <w:szCs w:val="28"/>
            <w:u w:val="none"/>
            <w:lang w:val="en-US"/>
          </w:rPr>
          <w:t>dachas</w:t>
        </w:r>
      </w:hyperlink>
      <w:r w:rsidRPr="0068182D">
        <w:rPr>
          <w:sz w:val="28"/>
          <w:szCs w:val="28"/>
          <w:lang w:val="en-US"/>
        </w:rPr>
        <w:t>, and 1.5 percent on other lands. Forest reserves and bodies of water are exempt. Land values are periodically assessed by land registrars and kept substantially below market prices. Unlike corporate property tax, land tax is paid by individual taxpayers.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b/>
          <w:bCs/>
          <w:sz w:val="28"/>
          <w:szCs w:val="28"/>
          <w:lang w:val="en-US"/>
        </w:rPr>
        <w:t>Corporate property tax</w:t>
      </w:r>
      <w:r w:rsidRPr="0068182D">
        <w:rPr>
          <w:sz w:val="28"/>
          <w:szCs w:val="28"/>
          <w:lang w:val="en-US"/>
        </w:rPr>
        <w:t>, or tax on</w:t>
      </w:r>
      <w:r w:rsidRPr="0068182D">
        <w:rPr>
          <w:rStyle w:val="apple-converted-space"/>
          <w:sz w:val="28"/>
          <w:szCs w:val="28"/>
          <w:lang w:val="en-US"/>
        </w:rPr>
        <w:t> </w:t>
      </w:r>
      <w:hyperlink r:id="rId620" w:tooltip="Fixed assets" w:history="1">
        <w:r w:rsidRPr="0068182D">
          <w:rPr>
            <w:rStyle w:val="a5"/>
            <w:color w:val="auto"/>
            <w:sz w:val="28"/>
            <w:szCs w:val="28"/>
            <w:u w:val="none"/>
            <w:lang w:val="en-US"/>
          </w:rPr>
          <w:t>fixed assets</w:t>
        </w:r>
      </w:hyperlink>
      <w:r w:rsidRPr="0068182D">
        <w:rPr>
          <w:sz w:val="28"/>
          <w:szCs w:val="28"/>
          <w:lang w:val="en-US"/>
        </w:rPr>
        <w:t>, is assessed on year-averaged book value of fixed assets</w:t>
      </w:r>
      <w:r w:rsidRPr="0068182D">
        <w:rPr>
          <w:rStyle w:val="apple-converted-space"/>
          <w:sz w:val="28"/>
          <w:szCs w:val="28"/>
          <w:lang w:val="en-US"/>
        </w:rPr>
        <w:t> </w:t>
      </w:r>
      <w:r w:rsidRPr="0068182D">
        <w:rPr>
          <w:i/>
          <w:iCs/>
          <w:sz w:val="28"/>
          <w:szCs w:val="28"/>
          <w:lang w:val="en-US"/>
        </w:rPr>
        <w:t>excluding</w:t>
      </w:r>
      <w:r w:rsidRPr="0068182D">
        <w:rPr>
          <w:rStyle w:val="apple-converted-space"/>
          <w:sz w:val="28"/>
          <w:szCs w:val="28"/>
          <w:lang w:val="en-US"/>
        </w:rPr>
        <w:t> </w:t>
      </w:r>
      <w:r w:rsidRPr="0068182D">
        <w:rPr>
          <w:sz w:val="28"/>
          <w:szCs w:val="28"/>
          <w:lang w:val="en-US"/>
        </w:rPr>
        <w:t>land (which is subject to land tax). Radioactive waste storage facilities, space</w:t>
      </w:r>
      <w:r w:rsidRPr="0068182D">
        <w:rPr>
          <w:rStyle w:val="apple-converted-space"/>
          <w:sz w:val="28"/>
          <w:szCs w:val="28"/>
          <w:lang w:val="en-US"/>
        </w:rPr>
        <w:t> </w:t>
      </w:r>
      <w:hyperlink r:id="rId621" w:tooltip="Satellite" w:history="1">
        <w:r w:rsidRPr="0068182D">
          <w:rPr>
            <w:rStyle w:val="a5"/>
            <w:color w:val="auto"/>
            <w:sz w:val="28"/>
            <w:szCs w:val="28"/>
            <w:u w:val="none"/>
            <w:lang w:val="en-US"/>
          </w:rPr>
          <w:t>satellites</w:t>
        </w:r>
      </w:hyperlink>
      <w:r w:rsidRPr="0068182D">
        <w:rPr>
          <w:sz w:val="28"/>
          <w:szCs w:val="28"/>
          <w:lang w:val="en-US"/>
        </w:rPr>
        <w:t>, church property and other itemized assets are specifically exempt from taxation.</w:t>
      </w:r>
      <w:r w:rsidRPr="0068182D">
        <w:rPr>
          <w:rStyle w:val="apple-converted-space"/>
          <w:sz w:val="28"/>
          <w:szCs w:val="28"/>
          <w:lang w:val="en-US"/>
        </w:rPr>
        <w:t> </w:t>
      </w:r>
      <w:r w:rsidRPr="0068182D">
        <w:rPr>
          <w:sz w:val="28"/>
          <w:szCs w:val="28"/>
          <w:lang w:val="en-US"/>
        </w:rPr>
        <w:t>The maximum rate is 2.2 percent; regional authorities can vary rates depending on types of taxpayers and assets.</w:t>
      </w:r>
      <w:r w:rsidRPr="0068182D">
        <w:rPr>
          <w:rStyle w:val="apple-converted-space"/>
          <w:sz w:val="28"/>
          <w:szCs w:val="28"/>
          <w:lang w:val="en-US"/>
        </w:rPr>
        <w:t> </w:t>
      </w:r>
      <w:r w:rsidRPr="0068182D">
        <w:rPr>
          <w:sz w:val="28"/>
          <w:szCs w:val="28"/>
          <w:lang w:val="en-US"/>
        </w:rPr>
        <w:t>This provides a method to establish disguised individual preferences, which are outlawed by the Code.</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b/>
          <w:bCs/>
          <w:sz w:val="28"/>
          <w:szCs w:val="28"/>
          <w:lang w:val="en-US"/>
        </w:rPr>
        <w:t>Vehicle tax</w:t>
      </w:r>
      <w:r w:rsidRPr="0068182D">
        <w:rPr>
          <w:rStyle w:val="apple-converted-space"/>
          <w:sz w:val="28"/>
          <w:szCs w:val="28"/>
          <w:lang w:val="en-US"/>
        </w:rPr>
        <w:t> </w:t>
      </w:r>
      <w:r w:rsidRPr="0068182D">
        <w:rPr>
          <w:sz w:val="28"/>
          <w:szCs w:val="28"/>
          <w:lang w:val="en-US"/>
        </w:rPr>
        <w:t>is levied annually on owners of motor vehicles and trailers, ships, and aircraft. Commercial ships and aircraft operated by transportation companies, agricultural, military vehicles and ambulances are exempt. The Code establishes maximum rates tied to engine power. Rates increase steeply with increasing horsepower.</w:t>
      </w:r>
      <w:r w:rsidRPr="0068182D">
        <w:rPr>
          <w:rStyle w:val="apple-converted-space"/>
          <w:sz w:val="28"/>
          <w:szCs w:val="28"/>
          <w:lang w:val="en-US"/>
        </w:rPr>
        <w:t> </w:t>
      </w:r>
      <w:r w:rsidRPr="0068182D">
        <w:rPr>
          <w:sz w:val="28"/>
          <w:szCs w:val="28"/>
          <w:lang w:val="en-US"/>
        </w:rPr>
        <w:t>For example, in 2009 fiscal year the city of</w:t>
      </w:r>
      <w:r w:rsidRPr="0068182D">
        <w:rPr>
          <w:rStyle w:val="apple-converted-space"/>
          <w:sz w:val="28"/>
          <w:szCs w:val="28"/>
          <w:lang w:val="en-US"/>
        </w:rPr>
        <w:t> </w:t>
      </w:r>
      <w:hyperlink r:id="rId622" w:tooltip="Moscow" w:history="1">
        <w:r w:rsidRPr="0068182D">
          <w:rPr>
            <w:rStyle w:val="a5"/>
            <w:color w:val="auto"/>
            <w:sz w:val="28"/>
            <w:szCs w:val="28"/>
            <w:u w:val="none"/>
            <w:lang w:val="en-US"/>
          </w:rPr>
          <w:t>Moscow</w:t>
        </w:r>
      </w:hyperlink>
      <w:r w:rsidRPr="0068182D">
        <w:rPr>
          <w:rStyle w:val="apple-converted-space"/>
          <w:sz w:val="28"/>
          <w:szCs w:val="28"/>
          <w:lang w:val="en-US"/>
        </w:rPr>
        <w:t> </w:t>
      </w:r>
      <w:r w:rsidRPr="0068182D">
        <w:rPr>
          <w:sz w:val="28"/>
          <w:szCs w:val="28"/>
          <w:lang w:val="en-US"/>
        </w:rPr>
        <w:t>levies 700 roubles on a 100</w:t>
      </w:r>
      <w:r w:rsidRPr="0068182D">
        <w:rPr>
          <w:rStyle w:val="apple-converted-space"/>
          <w:sz w:val="28"/>
          <w:szCs w:val="28"/>
          <w:lang w:val="en-US"/>
        </w:rPr>
        <w:t> </w:t>
      </w:r>
      <w:hyperlink r:id="rId623" w:tooltip="Horsepower" w:history="1">
        <w:r w:rsidRPr="0068182D">
          <w:rPr>
            <w:rStyle w:val="a5"/>
            <w:color w:val="auto"/>
            <w:sz w:val="28"/>
            <w:szCs w:val="28"/>
            <w:u w:val="none"/>
            <w:lang w:val="en-US"/>
          </w:rPr>
          <w:t>h.p.</w:t>
        </w:r>
      </w:hyperlink>
      <w:r w:rsidRPr="0068182D">
        <w:rPr>
          <w:rStyle w:val="apple-converted-space"/>
          <w:sz w:val="28"/>
          <w:szCs w:val="28"/>
          <w:lang w:val="en-US"/>
        </w:rPr>
        <w:t> </w:t>
      </w:r>
      <w:r w:rsidRPr="0068182D">
        <w:rPr>
          <w:sz w:val="28"/>
          <w:szCs w:val="28"/>
          <w:lang w:val="en-US"/>
        </w:rPr>
        <w:t>passenger car, 2400 roubles on 120 h.p., 12,000 roubles on 200 h.p. and 45,000 roubles on 300 h.p.</w:t>
      </w:r>
      <w:r w:rsidR="00386344" w:rsidRPr="0068182D">
        <w:rPr>
          <w:sz w:val="28"/>
          <w:szCs w:val="28"/>
          <w:lang w:val="en-US"/>
        </w:rPr>
        <w:t xml:space="preserve"> </w:t>
      </w:r>
      <w:r w:rsidRPr="0068182D">
        <w:rPr>
          <w:sz w:val="28"/>
          <w:szCs w:val="28"/>
          <w:lang w:val="en-US"/>
        </w:rPr>
        <w:t>Taxation does not depend on</w:t>
      </w:r>
      <w:r w:rsidRPr="0068182D">
        <w:rPr>
          <w:rStyle w:val="apple-converted-space"/>
          <w:sz w:val="28"/>
          <w:szCs w:val="28"/>
          <w:lang w:val="en-US"/>
        </w:rPr>
        <w:t> </w:t>
      </w:r>
      <w:hyperlink r:id="rId624" w:tooltip="European emission standards" w:history="1">
        <w:r w:rsidRPr="0068182D">
          <w:rPr>
            <w:rStyle w:val="a5"/>
            <w:color w:val="auto"/>
            <w:sz w:val="28"/>
            <w:szCs w:val="28"/>
            <w:u w:val="none"/>
            <w:lang w:val="en-US"/>
          </w:rPr>
          <w:t>emission levels</w:t>
        </w:r>
      </w:hyperlink>
      <w:r w:rsidRPr="0068182D">
        <w:rPr>
          <w:sz w:val="28"/>
          <w:szCs w:val="28"/>
          <w:lang w:val="en-US"/>
        </w:rPr>
        <w:t>.</w:t>
      </w:r>
    </w:p>
    <w:p w:rsidR="004379E3" w:rsidRPr="0068182D" w:rsidRDefault="00CD577A" w:rsidP="00386344">
      <w:pPr>
        <w:pStyle w:val="a6"/>
        <w:shd w:val="clear" w:color="auto" w:fill="FFFFFF"/>
        <w:spacing w:before="0" w:beforeAutospacing="0" w:after="0" w:afterAutospacing="0"/>
        <w:ind w:firstLine="567"/>
        <w:jc w:val="both"/>
        <w:rPr>
          <w:sz w:val="28"/>
          <w:szCs w:val="28"/>
          <w:lang w:val="en-US"/>
        </w:rPr>
      </w:pPr>
      <w:hyperlink r:id="rId625" w:tooltip="Gambling in Russia" w:history="1">
        <w:r w:rsidR="004379E3" w:rsidRPr="0068182D">
          <w:rPr>
            <w:rStyle w:val="a5"/>
            <w:color w:val="auto"/>
            <w:sz w:val="28"/>
            <w:szCs w:val="28"/>
            <w:u w:val="none"/>
            <w:lang w:val="en-US"/>
          </w:rPr>
          <w:t>Tax on gambling businesses</w:t>
        </w:r>
      </w:hyperlink>
      <w:r w:rsidR="004379E3" w:rsidRPr="0068182D">
        <w:rPr>
          <w:rStyle w:val="apple-converted-space"/>
          <w:sz w:val="28"/>
          <w:szCs w:val="28"/>
          <w:lang w:val="en-US"/>
        </w:rPr>
        <w:t> </w:t>
      </w:r>
      <w:r w:rsidR="004379E3" w:rsidRPr="0068182D">
        <w:rPr>
          <w:sz w:val="28"/>
          <w:szCs w:val="28"/>
          <w:lang w:val="en-US"/>
        </w:rPr>
        <w:t>is paid by registered gambling outlets at a flat rate per each table,</w:t>
      </w:r>
      <w:r w:rsidR="004379E3" w:rsidRPr="0068182D">
        <w:rPr>
          <w:rStyle w:val="apple-converted-space"/>
          <w:sz w:val="28"/>
          <w:szCs w:val="28"/>
          <w:lang w:val="en-US"/>
        </w:rPr>
        <w:t> </w:t>
      </w:r>
      <w:hyperlink r:id="rId626" w:tooltip="Slot machine" w:history="1">
        <w:r w:rsidR="004379E3" w:rsidRPr="0068182D">
          <w:rPr>
            <w:rStyle w:val="a5"/>
            <w:color w:val="auto"/>
            <w:sz w:val="28"/>
            <w:szCs w:val="28"/>
            <w:u w:val="none"/>
            <w:lang w:val="en-US"/>
          </w:rPr>
          <w:t>slot machine</w:t>
        </w:r>
      </w:hyperlink>
      <w:r w:rsidR="004379E3" w:rsidRPr="0068182D">
        <w:rPr>
          <w:rStyle w:val="apple-converted-space"/>
          <w:sz w:val="28"/>
          <w:szCs w:val="28"/>
          <w:lang w:val="en-US"/>
        </w:rPr>
        <w:t> </w:t>
      </w:r>
      <w:r w:rsidR="004379E3" w:rsidRPr="0068182D">
        <w:rPr>
          <w:sz w:val="28"/>
          <w:szCs w:val="28"/>
          <w:lang w:val="en-US"/>
        </w:rPr>
        <w:t>or</w:t>
      </w:r>
      <w:r w:rsidR="004379E3" w:rsidRPr="0068182D">
        <w:rPr>
          <w:rStyle w:val="apple-converted-space"/>
          <w:sz w:val="28"/>
          <w:szCs w:val="28"/>
          <w:lang w:val="en-US"/>
        </w:rPr>
        <w:t> </w:t>
      </w:r>
      <w:hyperlink r:id="rId627" w:tooltip="Bookmaker" w:history="1">
        <w:r w:rsidR="004379E3" w:rsidRPr="0068182D">
          <w:rPr>
            <w:rStyle w:val="a5"/>
            <w:color w:val="auto"/>
            <w:sz w:val="28"/>
            <w:szCs w:val="28"/>
            <w:u w:val="none"/>
            <w:lang w:val="en-US"/>
          </w:rPr>
          <w:t>bookmaker</w:t>
        </w:r>
      </w:hyperlink>
      <w:r w:rsidR="004379E3" w:rsidRPr="0068182D">
        <w:rPr>
          <w:sz w:val="28"/>
          <w:szCs w:val="28"/>
          <w:lang w:val="en-US"/>
        </w:rPr>
        <w:t>'s cash desk. The Code provides both minimum and maximum rate limits (1:5 ratio), thus prohibits establishment of tax-free gambling. For example, one slot machine is taxed at 1,500–7,500 roubles a year, and one table at 25,000–125,000 roubles a year. From July 1, 2009 gambling in Russia is banned, except in four specially designated gambling areas in remote regions.</w:t>
      </w:r>
      <w:r w:rsidR="004379E3" w:rsidRPr="0068182D">
        <w:rPr>
          <w:rStyle w:val="apple-converted-space"/>
          <w:sz w:val="28"/>
          <w:szCs w:val="28"/>
          <w:lang w:val="en-US"/>
        </w:rPr>
        <w:t> </w:t>
      </w:r>
      <w:hyperlink r:id="rId628" w:tooltip="Online gambling" w:history="1">
        <w:r w:rsidR="004379E3" w:rsidRPr="0068182D">
          <w:rPr>
            <w:rStyle w:val="a5"/>
            <w:color w:val="auto"/>
            <w:sz w:val="28"/>
            <w:szCs w:val="28"/>
            <w:u w:val="none"/>
            <w:lang w:val="en-US"/>
          </w:rPr>
          <w:t>Online gambling</w:t>
        </w:r>
      </w:hyperlink>
      <w:r w:rsidR="004379E3" w:rsidRPr="0068182D">
        <w:rPr>
          <w:rStyle w:val="apple-converted-space"/>
          <w:sz w:val="28"/>
          <w:szCs w:val="28"/>
          <w:lang w:val="en-US"/>
        </w:rPr>
        <w:t> </w:t>
      </w:r>
      <w:r w:rsidR="004379E3" w:rsidRPr="0068182D">
        <w:rPr>
          <w:sz w:val="28"/>
          <w:szCs w:val="28"/>
          <w:lang w:val="en-US"/>
        </w:rPr>
        <w:t>is banned.</w:t>
      </w:r>
    </w:p>
    <w:p w:rsidR="004379E3" w:rsidRPr="0068182D" w:rsidRDefault="004379E3" w:rsidP="00386344">
      <w:pPr>
        <w:pStyle w:val="2"/>
        <w:pBdr>
          <w:bottom w:val="single" w:sz="6" w:space="0" w:color="A2A9B1"/>
        </w:pBdr>
        <w:shd w:val="clear" w:color="auto" w:fill="FFFFFF"/>
        <w:spacing w:before="0" w:beforeAutospacing="0" w:after="0" w:afterAutospacing="0"/>
        <w:ind w:firstLine="567"/>
        <w:jc w:val="both"/>
        <w:rPr>
          <w:b w:val="0"/>
          <w:bCs w:val="0"/>
          <w:sz w:val="28"/>
          <w:szCs w:val="28"/>
          <w:lang w:val="en-US"/>
        </w:rPr>
      </w:pPr>
      <w:r w:rsidRPr="0068182D">
        <w:rPr>
          <w:rStyle w:val="mw-headline"/>
          <w:b w:val="0"/>
          <w:bCs w:val="0"/>
          <w:sz w:val="28"/>
          <w:szCs w:val="28"/>
          <w:lang w:val="en-US"/>
        </w:rPr>
        <w:t>Special taxation frameworks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set of specific federal and regional corporate taxes outlined above (i.e. regular CPT, VAT, UST and property tax), which by default is mandatory for all corporate taxpayers and registered individual entrepreneurs, is known as</w:t>
      </w:r>
      <w:r w:rsidRPr="0068182D">
        <w:rPr>
          <w:rStyle w:val="apple-converted-space"/>
          <w:sz w:val="28"/>
          <w:szCs w:val="28"/>
          <w:lang w:val="en-US"/>
        </w:rPr>
        <w:t> </w:t>
      </w:r>
      <w:r w:rsidRPr="0068182D">
        <w:rPr>
          <w:i/>
          <w:iCs/>
          <w:sz w:val="28"/>
          <w:szCs w:val="28"/>
          <w:lang w:val="en-US"/>
        </w:rPr>
        <w:t>General taxation system</w:t>
      </w:r>
      <w:r w:rsidRPr="0068182D">
        <w:rPr>
          <w:sz w:val="28"/>
          <w:szCs w:val="28"/>
          <w:lang w:val="en-US"/>
        </w:rPr>
        <w:t>. Three alternative tax systems replace the above taxes with a simplified procedure:</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b/>
          <w:bCs/>
          <w:sz w:val="28"/>
          <w:szCs w:val="28"/>
          <w:lang w:val="en-US"/>
        </w:rPr>
        <w:t>Imputed taxation</w:t>
      </w:r>
      <w:r w:rsidRPr="0068182D">
        <w:rPr>
          <w:rStyle w:val="apple-converted-space"/>
          <w:sz w:val="28"/>
          <w:szCs w:val="28"/>
          <w:lang w:val="en-US"/>
        </w:rPr>
        <w:t> </w:t>
      </w:r>
      <w:r w:rsidRPr="0068182D">
        <w:rPr>
          <w:sz w:val="28"/>
          <w:szCs w:val="28"/>
          <w:lang w:val="en-US"/>
        </w:rPr>
        <w:t>applies to specific, typically small business, activities involving trading with general public in cash: small retail and food service outlets, hotels, repair shops, taxi companies, etc. Imputed tax, uses rates set by local authorities (per</w:t>
      </w:r>
      <w:r w:rsidRPr="0068182D">
        <w:rPr>
          <w:rStyle w:val="apple-converted-space"/>
          <w:sz w:val="28"/>
          <w:szCs w:val="28"/>
          <w:lang w:val="en-US"/>
        </w:rPr>
        <w:t> </w:t>
      </w:r>
      <w:hyperlink r:id="rId629" w:tooltip="Square meter" w:history="1">
        <w:r w:rsidRPr="0068182D">
          <w:rPr>
            <w:rStyle w:val="a5"/>
            <w:color w:val="auto"/>
            <w:sz w:val="28"/>
            <w:szCs w:val="28"/>
            <w:u w:val="none"/>
            <w:lang w:val="en-US"/>
          </w:rPr>
          <w:t>square meter</w:t>
        </w:r>
      </w:hyperlink>
      <w:r w:rsidRPr="0068182D">
        <w:rPr>
          <w:rStyle w:val="apple-converted-space"/>
          <w:sz w:val="28"/>
          <w:szCs w:val="28"/>
          <w:lang w:val="en-US"/>
        </w:rPr>
        <w:t> </w:t>
      </w:r>
      <w:r w:rsidRPr="0068182D">
        <w:rPr>
          <w:sz w:val="28"/>
          <w:szCs w:val="28"/>
          <w:lang w:val="en-US"/>
        </w:rPr>
        <w:t>of shop space, per vehicle etc.) All eligible businesses use imputed taxation. The law is also mandatory for eligible parts of larger corporations, even if they are individually insignificant. For example, a cafeteria of a large steel mill is usually considered a subject of imputed tax and the mill must account for it as a separate taxable unit (the core business remains on terms of general taxation system).</w:t>
      </w:r>
    </w:p>
    <w:p w:rsidR="004379E3" w:rsidRPr="0068182D" w:rsidRDefault="00CD577A" w:rsidP="00386344">
      <w:pPr>
        <w:pStyle w:val="a6"/>
        <w:shd w:val="clear" w:color="auto" w:fill="FFFFFF"/>
        <w:spacing w:before="0" w:beforeAutospacing="0" w:after="0" w:afterAutospacing="0"/>
        <w:ind w:firstLine="567"/>
        <w:jc w:val="both"/>
        <w:rPr>
          <w:sz w:val="28"/>
          <w:szCs w:val="28"/>
          <w:lang w:val="en-US"/>
        </w:rPr>
      </w:pPr>
      <w:hyperlink r:id="rId630" w:tooltip="Simplified taxation system in Russia (page does not exist)" w:history="1">
        <w:r w:rsidR="004379E3" w:rsidRPr="0068182D">
          <w:rPr>
            <w:rStyle w:val="a5"/>
            <w:b/>
            <w:bCs/>
            <w:color w:val="auto"/>
            <w:sz w:val="28"/>
            <w:szCs w:val="28"/>
            <w:u w:val="none"/>
            <w:lang w:val="en-US"/>
          </w:rPr>
          <w:t>Simplified taxation system</w:t>
        </w:r>
      </w:hyperlink>
      <w:r w:rsidR="004379E3" w:rsidRPr="0068182D">
        <w:rPr>
          <w:rStyle w:val="apple-converted-space"/>
          <w:sz w:val="28"/>
          <w:szCs w:val="28"/>
          <w:lang w:val="en-US"/>
        </w:rPr>
        <w:t> </w:t>
      </w:r>
      <w:r w:rsidR="004379E3" w:rsidRPr="0068182D">
        <w:rPr>
          <w:sz w:val="28"/>
          <w:szCs w:val="28"/>
          <w:lang w:val="en-US"/>
        </w:rPr>
        <w:t>applies to small businesses with annual sales less than 60,000,000 rubles. Banks, insurers, foreign companies and certain other professions and businesses are not eligible. The average number of employees in the firm should not exceed 100 during the year and total assets should not exceed 100,000,000 roubles to be eligible. Unified tax is levied either on gross receipts at 6 percent, or on profit before income tax at 15 percent; the choice of either option, is made by the taxpayer. Simplified system prescribes a specific set of accounting rules, thus</w:t>
      </w:r>
      <w:r w:rsidR="004379E3" w:rsidRPr="0068182D">
        <w:rPr>
          <w:rStyle w:val="apple-converted-space"/>
          <w:sz w:val="28"/>
          <w:szCs w:val="28"/>
          <w:lang w:val="en-US"/>
        </w:rPr>
        <w:t> </w:t>
      </w:r>
      <w:r w:rsidR="004379E3" w:rsidRPr="0068182D">
        <w:rPr>
          <w:i/>
          <w:iCs/>
          <w:sz w:val="28"/>
          <w:szCs w:val="28"/>
          <w:lang w:val="en-US"/>
        </w:rPr>
        <w:t>gross receipts</w:t>
      </w:r>
      <w:r w:rsidR="004379E3" w:rsidRPr="0068182D">
        <w:rPr>
          <w:rStyle w:val="apple-converted-space"/>
          <w:sz w:val="28"/>
          <w:szCs w:val="28"/>
          <w:lang w:val="en-US"/>
        </w:rPr>
        <w:t> </w:t>
      </w:r>
      <w:r w:rsidR="004379E3" w:rsidRPr="0068182D">
        <w:rPr>
          <w:sz w:val="28"/>
          <w:szCs w:val="28"/>
          <w:lang w:val="en-US"/>
        </w:rPr>
        <w:t>and</w:t>
      </w:r>
      <w:r w:rsidR="004379E3" w:rsidRPr="0068182D">
        <w:rPr>
          <w:rStyle w:val="apple-converted-space"/>
          <w:sz w:val="28"/>
          <w:szCs w:val="28"/>
          <w:lang w:val="en-US"/>
        </w:rPr>
        <w:t> </w:t>
      </w:r>
      <w:r w:rsidR="004379E3" w:rsidRPr="0068182D">
        <w:rPr>
          <w:i/>
          <w:iCs/>
          <w:sz w:val="28"/>
          <w:szCs w:val="28"/>
          <w:lang w:val="en-US"/>
        </w:rPr>
        <w:t>gross margins</w:t>
      </w:r>
      <w:r w:rsidR="004379E3" w:rsidRPr="0068182D">
        <w:rPr>
          <w:rStyle w:val="apple-converted-space"/>
          <w:sz w:val="28"/>
          <w:szCs w:val="28"/>
          <w:lang w:val="en-US"/>
        </w:rPr>
        <w:t> </w:t>
      </w:r>
      <w:r w:rsidR="004379E3" w:rsidRPr="0068182D">
        <w:rPr>
          <w:sz w:val="28"/>
          <w:szCs w:val="28"/>
          <w:lang w:val="en-US"/>
        </w:rPr>
        <w:t>of eligible businesses are, usually, higher than they would be under general accounting and taxation systems.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An eligible business can elect either simplified or general taxation system at will with certain timing restrictions, which are usually once a year in December. If the business loses eligibility at any time during the year, it continues operating under simplified system until the end of the year, and then it must recalculate its tax obligations under general taxation system from the moment it became ineligible. The system does not allow taxpayers to pass prepaid input VAT to their customers; such customers who are VAT payers are unable to refund any VAT paid downstream. As a result, businesses engaged in</w:t>
      </w:r>
      <w:r w:rsidRPr="0068182D">
        <w:rPr>
          <w:rStyle w:val="apple-converted-space"/>
          <w:sz w:val="28"/>
          <w:szCs w:val="28"/>
          <w:lang w:val="en-US"/>
        </w:rPr>
        <w:t> </w:t>
      </w:r>
      <w:hyperlink r:id="rId631" w:tooltip="Business-to-business" w:history="1">
        <w:r w:rsidRPr="0068182D">
          <w:rPr>
            <w:rStyle w:val="a5"/>
            <w:color w:val="auto"/>
            <w:sz w:val="28"/>
            <w:szCs w:val="28"/>
            <w:u w:val="none"/>
            <w:lang w:val="en-US"/>
          </w:rPr>
          <w:t>B2B</w:t>
        </w:r>
      </w:hyperlink>
      <w:r w:rsidRPr="0068182D">
        <w:rPr>
          <w:rStyle w:val="apple-converted-space"/>
          <w:sz w:val="28"/>
          <w:szCs w:val="28"/>
          <w:lang w:val="en-US"/>
        </w:rPr>
        <w:t> </w:t>
      </w:r>
      <w:r w:rsidRPr="0068182D">
        <w:rPr>
          <w:sz w:val="28"/>
          <w:szCs w:val="28"/>
          <w:lang w:val="en-US"/>
        </w:rPr>
        <w:t>transactions prefer general taxation.</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b/>
          <w:bCs/>
          <w:sz w:val="28"/>
          <w:szCs w:val="28"/>
          <w:lang w:val="en-US"/>
        </w:rPr>
        <w:t>Taxation system for agriculture</w:t>
      </w:r>
      <w:r w:rsidRPr="0068182D">
        <w:rPr>
          <w:rStyle w:val="apple-converted-space"/>
          <w:sz w:val="28"/>
          <w:szCs w:val="28"/>
          <w:lang w:val="en-US"/>
        </w:rPr>
        <w:t> </w:t>
      </w:r>
      <w:r w:rsidRPr="0068182D">
        <w:rPr>
          <w:sz w:val="28"/>
          <w:szCs w:val="28"/>
          <w:lang w:val="en-US"/>
        </w:rPr>
        <w:t>(including</w:t>
      </w:r>
      <w:r w:rsidRPr="0068182D">
        <w:rPr>
          <w:rStyle w:val="apple-converted-space"/>
          <w:sz w:val="28"/>
          <w:szCs w:val="28"/>
          <w:lang w:val="en-US"/>
        </w:rPr>
        <w:t> </w:t>
      </w:r>
      <w:hyperlink r:id="rId632" w:tooltip="Animal husbandry" w:history="1">
        <w:r w:rsidRPr="0068182D">
          <w:rPr>
            <w:rStyle w:val="a5"/>
            <w:color w:val="auto"/>
            <w:sz w:val="28"/>
            <w:szCs w:val="28"/>
            <w:u w:val="none"/>
            <w:lang w:val="en-US"/>
          </w:rPr>
          <w:t>animal farms</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633" w:tooltip="Fishery" w:history="1">
        <w:r w:rsidRPr="0068182D">
          <w:rPr>
            <w:rStyle w:val="a5"/>
            <w:color w:val="auto"/>
            <w:sz w:val="28"/>
            <w:szCs w:val="28"/>
            <w:u w:val="none"/>
            <w:lang w:val="en-US"/>
          </w:rPr>
          <w:t>fisheries</w:t>
        </w:r>
      </w:hyperlink>
      <w:r w:rsidRPr="0068182D">
        <w:rPr>
          <w:sz w:val="28"/>
          <w:szCs w:val="28"/>
          <w:lang w:val="en-US"/>
        </w:rPr>
        <w:t>) uses a flat unified tax levied at 6 percent on gross margins, with its own unique set of accounting rules. There are no limitations on size of the business as long as at least 70 percent of its income is generated by sales of its farm produce.</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VAT exemptions outlined in special frameworks apply only to VAT on domestic sales. VAT on imports is payable by all importers regardless of their tax framework. Likewise, the insurance premiums payable to</w:t>
      </w:r>
      <w:r w:rsidRPr="0068182D">
        <w:rPr>
          <w:rStyle w:val="apple-converted-space"/>
          <w:sz w:val="28"/>
          <w:szCs w:val="28"/>
          <w:lang w:val="en-US"/>
        </w:rPr>
        <w:t> </w:t>
      </w:r>
      <w:hyperlink r:id="rId634" w:tooltip="Pension Fund of Russia (page does not exist)" w:history="1">
        <w:r w:rsidRPr="0068182D">
          <w:rPr>
            <w:rStyle w:val="a5"/>
            <w:color w:val="auto"/>
            <w:sz w:val="28"/>
            <w:szCs w:val="28"/>
            <w:u w:val="none"/>
            <w:lang w:val="en-US"/>
          </w:rPr>
          <w:t>Pension Fund of Russia</w:t>
        </w:r>
      </w:hyperlink>
      <w:r w:rsidRPr="0068182D">
        <w:rPr>
          <w:rStyle w:val="apple-converted-space"/>
          <w:sz w:val="28"/>
          <w:szCs w:val="28"/>
          <w:lang w:val="en-US"/>
        </w:rPr>
        <w:t> </w:t>
      </w:r>
      <w:r w:rsidRPr="0068182D">
        <w:rPr>
          <w:sz w:val="28"/>
          <w:szCs w:val="28"/>
          <w:lang w:val="en-US"/>
        </w:rPr>
        <w:t>are not considered part of UST and are payable by all employers.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Finally, a Product-sharing agreement framework applies to a very limited list of joint state-private enterprises, typically in oil extraction.</w:t>
      </w:r>
    </w:p>
    <w:p w:rsidR="004379E3" w:rsidRPr="0068182D" w:rsidRDefault="004379E3" w:rsidP="00386344">
      <w:pPr>
        <w:pStyle w:val="5"/>
        <w:shd w:val="clear" w:color="auto" w:fill="FFFFFF"/>
        <w:spacing w:before="0"/>
        <w:ind w:firstLine="567"/>
        <w:jc w:val="both"/>
        <w:rPr>
          <w:rFonts w:ascii="Times New Roman" w:hAnsi="Times New Roman" w:cs="Times New Roman"/>
          <w:color w:val="auto"/>
          <w:sz w:val="28"/>
          <w:szCs w:val="28"/>
          <w:lang w:val="en-US"/>
        </w:rPr>
      </w:pPr>
      <w:r w:rsidRPr="0068182D">
        <w:rPr>
          <w:rFonts w:ascii="Times New Roman" w:hAnsi="Times New Roman" w:cs="Times New Roman"/>
          <w:color w:val="auto"/>
          <w:sz w:val="28"/>
          <w:szCs w:val="28"/>
          <w:lang w:val="en-US"/>
        </w:rPr>
        <w:t>Taxes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Russian taxes on usual corporations may be grouped as follows:</w:t>
      </w:r>
    </w:p>
    <w:p w:rsidR="004379E3" w:rsidRPr="0068182D" w:rsidRDefault="004379E3" w:rsidP="00386344">
      <w:pPr>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b/>
          <w:bCs/>
          <w:sz w:val="28"/>
          <w:szCs w:val="28"/>
          <w:shd w:val="clear" w:color="auto" w:fill="FFFFFF"/>
          <w:lang w:val="en-US"/>
        </w:rPr>
        <w:t>1.</w:t>
      </w:r>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Income taxes Corporate Income tax - 20%</w:t>
      </w:r>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lang w:val="en-US"/>
        </w:rPr>
        <w:br/>
      </w:r>
    </w:p>
    <w:tbl>
      <w:tblPr>
        <w:tblW w:w="5000" w:type="pct"/>
        <w:tblCellSpacing w:w="0" w:type="dxa"/>
        <w:shd w:val="clear" w:color="auto" w:fill="FFFFFF"/>
        <w:tblCellMar>
          <w:left w:w="0" w:type="dxa"/>
          <w:right w:w="0" w:type="dxa"/>
        </w:tblCellMar>
        <w:tblLook w:val="04A0"/>
      </w:tblPr>
      <w:tblGrid>
        <w:gridCol w:w="150"/>
        <w:gridCol w:w="219"/>
        <w:gridCol w:w="9269"/>
      </w:tblGrid>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3pt;height:.8pt"/>
              </w:pict>
            </w:r>
          </w:p>
        </w:tc>
        <w:tc>
          <w:tcPr>
            <w:tcW w:w="0" w:type="auto"/>
            <w:gridSpan w:val="2"/>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Withholding Corporate Income tax on Russian source passive income of foreign legal entities</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26" type="#_x0000_t75" alt="" style="width:7.3pt;height:.8pt"/>
              </w:pict>
            </w:r>
          </w:p>
        </w:tc>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27" type="#_x0000_t75" alt="" style="width:7.3pt;height:.8pt"/>
              </w:pict>
            </w:r>
          </w:p>
        </w:tc>
        <w:tc>
          <w:tcPr>
            <w:tcW w:w="0" w:type="auto"/>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(interest, dividend, rent, royalty and similar) - from 9% to 20%</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28" type="#_x0000_t75" alt="" style="width:7.3pt;height:.8pt"/>
              </w:pict>
            </w:r>
          </w:p>
        </w:tc>
        <w:tc>
          <w:tcPr>
            <w:tcW w:w="0" w:type="auto"/>
            <w:gridSpan w:val="2"/>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br/>
              <w:t>Withholding tax on dividends paid to Russian legal entities - 9%</w:t>
            </w:r>
          </w:p>
        </w:tc>
      </w:tr>
    </w:tbl>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Please refer to</w:t>
      </w:r>
      <w:r w:rsidRPr="0068182D">
        <w:rPr>
          <w:rStyle w:val="apple-converted-space"/>
          <w:sz w:val="28"/>
          <w:szCs w:val="28"/>
          <w:lang w:val="en-US"/>
        </w:rPr>
        <w:t> </w:t>
      </w:r>
      <w:hyperlink r:id="rId635" w:history="1">
        <w:r w:rsidRPr="0068182D">
          <w:rPr>
            <w:rStyle w:val="a5"/>
            <w:b/>
            <w:bCs/>
            <w:color w:val="auto"/>
            <w:sz w:val="28"/>
            <w:szCs w:val="28"/>
            <w:lang w:val="en-US"/>
          </w:rPr>
          <w:t>Corporate Income Tax</w:t>
        </w:r>
      </w:hyperlink>
      <w:r w:rsidRPr="0068182D">
        <w:rPr>
          <w:rStyle w:val="apple-converted-space"/>
          <w:sz w:val="28"/>
          <w:szCs w:val="28"/>
          <w:lang w:val="en-US"/>
        </w:rPr>
        <w:t> </w:t>
      </w:r>
      <w:r w:rsidRPr="0068182D">
        <w:rPr>
          <w:sz w:val="28"/>
          <w:szCs w:val="28"/>
          <w:lang w:val="en-US"/>
        </w:rPr>
        <w:t>and</w:t>
      </w:r>
      <w:r w:rsidRPr="0068182D">
        <w:rPr>
          <w:rStyle w:val="apple-converted-space"/>
          <w:sz w:val="28"/>
          <w:szCs w:val="28"/>
          <w:lang w:val="en-US"/>
        </w:rPr>
        <w:t> </w:t>
      </w:r>
      <w:hyperlink r:id="rId636" w:history="1">
        <w:r w:rsidRPr="0068182D">
          <w:rPr>
            <w:rStyle w:val="a5"/>
            <w:b/>
            <w:bCs/>
            <w:color w:val="auto"/>
            <w:sz w:val="28"/>
            <w:szCs w:val="28"/>
            <w:lang w:val="en-US"/>
          </w:rPr>
          <w:t>Withholding Tax and Tax Agent Obligations</w:t>
        </w:r>
      </w:hyperlink>
      <w:r w:rsidRPr="0068182D">
        <w:rPr>
          <w:rStyle w:val="apple-converted-space"/>
          <w:sz w:val="28"/>
          <w:szCs w:val="28"/>
          <w:lang w:val="en-US"/>
        </w:rPr>
        <w:t> </w:t>
      </w:r>
      <w:r w:rsidRPr="0068182D">
        <w:rPr>
          <w:sz w:val="28"/>
          <w:szCs w:val="28"/>
          <w:lang w:val="en-US"/>
        </w:rPr>
        <w:t>for more details.</w:t>
      </w:r>
    </w:p>
    <w:p w:rsidR="004379E3" w:rsidRPr="0068182D" w:rsidRDefault="004379E3" w:rsidP="00386344">
      <w:pPr>
        <w:spacing w:after="0" w:line="240" w:lineRule="auto"/>
        <w:ind w:firstLine="567"/>
        <w:jc w:val="both"/>
        <w:rPr>
          <w:rFonts w:ascii="Times New Roman" w:hAnsi="Times New Roman" w:cs="Times New Roman"/>
          <w:sz w:val="28"/>
          <w:szCs w:val="28"/>
        </w:rPr>
      </w:pPr>
      <w:r w:rsidRPr="0068182D">
        <w:rPr>
          <w:rFonts w:ascii="Times New Roman" w:hAnsi="Times New Roman" w:cs="Times New Roman"/>
          <w:b/>
          <w:bCs/>
          <w:sz w:val="28"/>
          <w:szCs w:val="28"/>
          <w:shd w:val="clear" w:color="auto" w:fill="FFFFFF"/>
        </w:rPr>
        <w:t>2.</w:t>
      </w:r>
      <w:r w:rsidRPr="0068182D">
        <w:rPr>
          <w:rStyle w:val="apple-converted-space"/>
          <w:rFonts w:ascii="Times New Roman" w:hAnsi="Times New Roman" w:cs="Times New Roman"/>
          <w:sz w:val="28"/>
          <w:szCs w:val="28"/>
          <w:shd w:val="clear" w:color="auto" w:fill="FFFFFF"/>
        </w:rPr>
        <w:t> </w:t>
      </w:r>
      <w:r w:rsidRPr="0068182D">
        <w:rPr>
          <w:rFonts w:ascii="Times New Roman" w:hAnsi="Times New Roman" w:cs="Times New Roman"/>
          <w:sz w:val="28"/>
          <w:szCs w:val="28"/>
          <w:shd w:val="clear" w:color="auto" w:fill="FFFFFF"/>
        </w:rPr>
        <w:t>Indirect taxes</w:t>
      </w:r>
      <w:r w:rsidRPr="0068182D">
        <w:rPr>
          <w:rStyle w:val="apple-converted-space"/>
          <w:rFonts w:ascii="Times New Roman" w:hAnsi="Times New Roman" w:cs="Times New Roman"/>
          <w:sz w:val="28"/>
          <w:szCs w:val="28"/>
          <w:shd w:val="clear" w:color="auto" w:fill="FFFFFF"/>
        </w:rPr>
        <w:t> </w:t>
      </w:r>
      <w:r w:rsidRPr="0068182D">
        <w:rPr>
          <w:rFonts w:ascii="Times New Roman" w:hAnsi="Times New Roman" w:cs="Times New Roman"/>
          <w:sz w:val="28"/>
          <w:szCs w:val="28"/>
        </w:rPr>
        <w:br/>
      </w:r>
    </w:p>
    <w:tbl>
      <w:tblPr>
        <w:tblW w:w="5000" w:type="pct"/>
        <w:tblCellSpacing w:w="0" w:type="dxa"/>
        <w:shd w:val="clear" w:color="auto" w:fill="FFFFFF"/>
        <w:tblCellMar>
          <w:left w:w="0" w:type="dxa"/>
          <w:right w:w="0" w:type="dxa"/>
        </w:tblCellMar>
        <w:tblLook w:val="04A0"/>
      </w:tblPr>
      <w:tblGrid>
        <w:gridCol w:w="150"/>
        <w:gridCol w:w="489"/>
        <w:gridCol w:w="8999"/>
      </w:tblGrid>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29" type="#_x0000_t75" alt="" style="width:7.3pt;height:.8pt"/>
              </w:pict>
            </w:r>
          </w:p>
        </w:tc>
        <w:tc>
          <w:tcPr>
            <w:tcW w:w="0" w:type="auto"/>
            <w:gridSpan w:val="2"/>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Value-Added Tax (VAT) -10% on the value of socially important goods and 18% on the value</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30" type="#_x0000_t75" alt="" style="width:7.3pt;height:.8pt"/>
              </w:pict>
            </w:r>
          </w:p>
        </w:tc>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31" type="#_x0000_t75" alt="" style="width:7.3pt;height:.8pt"/>
              </w:pict>
            </w:r>
          </w:p>
        </w:tc>
        <w:tc>
          <w:tcPr>
            <w:tcW w:w="0" w:type="auto"/>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of most goods and services.</w:t>
            </w:r>
          </w:p>
        </w:tc>
      </w:tr>
    </w:tbl>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Please refer to</w:t>
      </w:r>
      <w:r w:rsidRPr="0068182D">
        <w:rPr>
          <w:rStyle w:val="apple-converted-space"/>
          <w:sz w:val="28"/>
          <w:szCs w:val="28"/>
          <w:lang w:val="en-US"/>
        </w:rPr>
        <w:t> </w:t>
      </w:r>
      <w:hyperlink r:id="rId637" w:history="1">
        <w:r w:rsidRPr="0068182D">
          <w:rPr>
            <w:rStyle w:val="a5"/>
            <w:b/>
            <w:bCs/>
            <w:color w:val="auto"/>
            <w:sz w:val="28"/>
            <w:szCs w:val="28"/>
            <w:lang w:val="en-US"/>
          </w:rPr>
          <w:t>VAT</w:t>
        </w:r>
      </w:hyperlink>
      <w:r w:rsidRPr="0068182D">
        <w:rPr>
          <w:rStyle w:val="apple-converted-space"/>
          <w:sz w:val="28"/>
          <w:szCs w:val="28"/>
          <w:lang w:val="en-US"/>
        </w:rPr>
        <w:t> </w:t>
      </w:r>
      <w:r w:rsidRPr="0068182D">
        <w:rPr>
          <w:sz w:val="28"/>
          <w:szCs w:val="28"/>
          <w:lang w:val="en-US"/>
        </w:rPr>
        <w:t>for more details.</w:t>
      </w:r>
    </w:p>
    <w:p w:rsidR="00784BCE" w:rsidRDefault="004379E3" w:rsidP="00386344">
      <w:pPr>
        <w:spacing w:after="0" w:line="240" w:lineRule="auto"/>
        <w:ind w:firstLine="567"/>
        <w:jc w:val="both"/>
        <w:rPr>
          <w:rFonts w:ascii="Times New Roman" w:hAnsi="Times New Roman" w:cs="Times New Roman"/>
          <w:sz w:val="28"/>
          <w:szCs w:val="28"/>
          <w:shd w:val="clear" w:color="auto" w:fill="FFFFFF"/>
          <w:lang w:val="en-US"/>
        </w:rPr>
      </w:pPr>
      <w:r w:rsidRPr="0068182D">
        <w:rPr>
          <w:rFonts w:ascii="Times New Roman" w:hAnsi="Times New Roman" w:cs="Times New Roman"/>
          <w:b/>
          <w:bCs/>
          <w:sz w:val="28"/>
          <w:szCs w:val="28"/>
          <w:shd w:val="clear" w:color="auto" w:fill="FFFFFF"/>
          <w:lang w:val="en-US"/>
        </w:rPr>
        <w:t>3.</w:t>
      </w:r>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Payroll taxes</w:t>
      </w:r>
    </w:p>
    <w:p w:rsidR="004379E3" w:rsidRPr="0068182D" w:rsidRDefault="004379E3" w:rsidP="00386344">
      <w:pPr>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shd w:val="clear" w:color="auto" w:fill="FFFFFF"/>
          <w:lang w:val="en-US"/>
        </w:rPr>
        <w:t>Payroll taxes are paid by employers only and comprised of contributions from cumulated gross annual income of Russian and foreign nationals citizens( except for foreign nationals working in Russia for less than 6 months or keeping Highly Qualified Specialist work permit):</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On gross incomes up to 512 000 rubles a year:</w:t>
      </w:r>
    </w:p>
    <w:p w:rsidR="004379E3" w:rsidRPr="0068182D" w:rsidRDefault="004379E3" w:rsidP="000537F4">
      <w:pPr>
        <w:numPr>
          <w:ilvl w:val="0"/>
          <w:numId w:val="27"/>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Pension Fund of the Russian Federation – 22%</w:t>
      </w:r>
    </w:p>
    <w:p w:rsidR="004379E3" w:rsidRPr="0068182D" w:rsidRDefault="004379E3" w:rsidP="000537F4">
      <w:pPr>
        <w:numPr>
          <w:ilvl w:val="0"/>
          <w:numId w:val="27"/>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Medical Fund of the Russian Federation – 5.1%</w:t>
      </w:r>
    </w:p>
    <w:p w:rsidR="004379E3" w:rsidRPr="0068182D" w:rsidRDefault="004379E3" w:rsidP="000537F4">
      <w:pPr>
        <w:numPr>
          <w:ilvl w:val="0"/>
          <w:numId w:val="27"/>
        </w:numPr>
        <w:shd w:val="clear" w:color="auto" w:fill="FFFFFF"/>
        <w:spacing w:after="0" w:line="240" w:lineRule="auto"/>
        <w:ind w:firstLine="567"/>
        <w:jc w:val="both"/>
        <w:rPr>
          <w:rFonts w:ascii="Times New Roman" w:hAnsi="Times New Roman" w:cs="Times New Roman"/>
          <w:sz w:val="28"/>
          <w:szCs w:val="28"/>
        </w:rPr>
      </w:pPr>
      <w:r w:rsidRPr="0068182D">
        <w:rPr>
          <w:rFonts w:ascii="Times New Roman" w:hAnsi="Times New Roman" w:cs="Times New Roman"/>
          <w:sz w:val="28"/>
          <w:szCs w:val="28"/>
        </w:rPr>
        <w:t>Social Insurance Fund – 2.9%</w:t>
      </w:r>
    </w:p>
    <w:p w:rsidR="004379E3" w:rsidRPr="0068182D" w:rsidRDefault="004379E3" w:rsidP="000537F4">
      <w:pPr>
        <w:numPr>
          <w:ilvl w:val="0"/>
          <w:numId w:val="27"/>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and Insurance against industrial accidents and deaths in the workplace / industrial fatalities - from</w:t>
      </w:r>
    </w:p>
    <w:p w:rsidR="004379E3" w:rsidRPr="0068182D" w:rsidRDefault="004379E3" w:rsidP="00386344">
      <w:pPr>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shd w:val="clear" w:color="auto" w:fill="FFFFFF"/>
          <w:lang w:val="en-US"/>
        </w:rPr>
        <w:t>0.2% to 8.5% (depending on industry)</w:t>
      </w:r>
      <w:r w:rsidRPr="0068182D">
        <w:rPr>
          <w:rFonts w:ascii="Times New Roman" w:hAnsi="Times New Roman" w:cs="Times New Roman"/>
          <w:sz w:val="28"/>
          <w:szCs w:val="28"/>
          <w:lang w:val="en-US"/>
        </w:rPr>
        <w:br/>
      </w:r>
      <w:r w:rsidRPr="0068182D">
        <w:rPr>
          <w:rFonts w:ascii="Times New Roman" w:hAnsi="Times New Roman" w:cs="Times New Roman"/>
          <w:sz w:val="28"/>
          <w:szCs w:val="28"/>
          <w:lang w:val="en-US"/>
        </w:rPr>
        <w:br/>
      </w:r>
      <w:r w:rsidRPr="0068182D">
        <w:rPr>
          <w:rFonts w:ascii="Times New Roman" w:hAnsi="Times New Roman" w:cs="Times New Roman"/>
          <w:sz w:val="28"/>
          <w:szCs w:val="28"/>
          <w:shd w:val="clear" w:color="auto" w:fill="FFFFFF"/>
          <w:lang w:val="en-US"/>
        </w:rPr>
        <w:t>On gross income from 512 rubles a year</w:t>
      </w:r>
      <w:r w:rsidRPr="0068182D">
        <w:rPr>
          <w:rFonts w:ascii="Times New Roman" w:hAnsi="Times New Roman" w:cs="Times New Roman"/>
          <w:sz w:val="28"/>
          <w:szCs w:val="28"/>
          <w:lang w:val="en-US"/>
        </w:rPr>
        <w:br/>
      </w:r>
    </w:p>
    <w:p w:rsidR="004379E3" w:rsidRPr="0068182D" w:rsidRDefault="004379E3" w:rsidP="000537F4">
      <w:pPr>
        <w:numPr>
          <w:ilvl w:val="0"/>
          <w:numId w:val="28"/>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Pension Fund of the Russian Federation – 10%</w:t>
      </w:r>
    </w:p>
    <w:p w:rsidR="004379E3" w:rsidRPr="0068182D" w:rsidRDefault="004379E3" w:rsidP="000537F4">
      <w:pPr>
        <w:numPr>
          <w:ilvl w:val="0"/>
          <w:numId w:val="28"/>
        </w:num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Insurance against industrial accidents and deaths in the workplace / industrial fatalities – from 0.2- 8.5% (depending on industry)</w:t>
      </w:r>
    </w:p>
    <w:p w:rsidR="00784BCE" w:rsidRDefault="004379E3" w:rsidP="00386344">
      <w:pPr>
        <w:spacing w:after="0" w:line="240" w:lineRule="auto"/>
        <w:ind w:firstLine="567"/>
        <w:jc w:val="both"/>
        <w:rPr>
          <w:rStyle w:val="apple-converted-space"/>
          <w:rFonts w:ascii="Times New Roman" w:hAnsi="Times New Roman" w:cs="Times New Roman"/>
          <w:sz w:val="28"/>
          <w:szCs w:val="28"/>
          <w:shd w:val="clear" w:color="auto" w:fill="FFFFFF"/>
          <w:lang w:val="en-US"/>
        </w:rPr>
      </w:pPr>
      <w:r w:rsidRPr="0068182D">
        <w:rPr>
          <w:rFonts w:ascii="Times New Roman" w:hAnsi="Times New Roman" w:cs="Times New Roman"/>
          <w:sz w:val="28"/>
          <w:szCs w:val="28"/>
          <w:shd w:val="clear" w:color="auto" w:fill="FFFFFF"/>
          <w:lang w:val="en-US"/>
        </w:rPr>
        <w:t>Total amount of contributions payable by agricultural and small business engaged in production and socially important areas of business varies from 14% to 26%.</w:t>
      </w:r>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lang w:val="en-US"/>
        </w:rPr>
        <w:br/>
      </w:r>
      <w:r w:rsidRPr="0068182D">
        <w:rPr>
          <w:rFonts w:ascii="Times New Roman" w:hAnsi="Times New Roman" w:cs="Times New Roman"/>
          <w:sz w:val="28"/>
          <w:szCs w:val="28"/>
          <w:lang w:val="en-US"/>
        </w:rPr>
        <w:br/>
      </w:r>
      <w:r w:rsidRPr="0068182D">
        <w:rPr>
          <w:rFonts w:ascii="Times New Roman" w:hAnsi="Times New Roman" w:cs="Times New Roman"/>
          <w:b/>
          <w:bCs/>
          <w:sz w:val="28"/>
          <w:szCs w:val="28"/>
          <w:shd w:val="clear" w:color="auto" w:fill="FFFFFF"/>
          <w:lang w:val="en-US"/>
        </w:rPr>
        <w:t>4.</w:t>
      </w:r>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Property Taxes</w:t>
      </w:r>
      <w:r w:rsidRPr="0068182D">
        <w:rPr>
          <w:rStyle w:val="apple-converted-space"/>
          <w:rFonts w:ascii="Times New Roman" w:hAnsi="Times New Roman" w:cs="Times New Roman"/>
          <w:sz w:val="28"/>
          <w:szCs w:val="28"/>
          <w:shd w:val="clear" w:color="auto" w:fill="FFFFFF"/>
          <w:lang w:val="en-US"/>
        </w:rPr>
        <w:t> </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All property taxes are regional and the rates are established by regional authorities but cannot exceed the following limits established by the Tax Code:</w:t>
      </w:r>
    </w:p>
    <w:tbl>
      <w:tblPr>
        <w:tblW w:w="5000" w:type="pct"/>
        <w:tblCellSpacing w:w="0" w:type="dxa"/>
        <w:shd w:val="clear" w:color="auto" w:fill="FFFFFF"/>
        <w:tblCellMar>
          <w:left w:w="0" w:type="dxa"/>
          <w:right w:w="0" w:type="dxa"/>
        </w:tblCellMar>
        <w:tblLook w:val="04A0"/>
      </w:tblPr>
      <w:tblGrid>
        <w:gridCol w:w="150"/>
        <w:gridCol w:w="240"/>
        <w:gridCol w:w="9248"/>
      </w:tblGrid>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32" type="#_x0000_t75" alt="" style="width:7.3pt;height:.8pt"/>
              </w:pict>
            </w:r>
          </w:p>
        </w:tc>
        <w:tc>
          <w:tcPr>
            <w:tcW w:w="0" w:type="auto"/>
            <w:gridSpan w:val="2"/>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Property tax on fixed assets - 2.2%</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33" type="#_x0000_t75" alt="" style="width:7.3pt;height:.8pt"/>
              </w:pict>
            </w:r>
          </w:p>
        </w:tc>
        <w:tc>
          <w:tcPr>
            <w:tcW w:w="0" w:type="auto"/>
            <w:gridSpan w:val="2"/>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Transport tax on owned vehicles, vessels and aircraft - tax amount depends on engine capacity</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34" type="#_x0000_t75" alt="" style="width:7.3pt;height:.8pt"/>
              </w:pict>
            </w:r>
          </w:p>
        </w:tc>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35" type="#_x0000_t75" alt="" style="width:7.3pt;height:.8pt"/>
              </w:pict>
            </w:r>
          </w:p>
        </w:tc>
        <w:tc>
          <w:tcPr>
            <w:tcW w:w="0" w:type="auto"/>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and is calculated on horse-power or by a similar yardstick</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36" type="#_x0000_t75" alt="" style="width:7.3pt;height:.8pt"/>
              </w:pict>
            </w:r>
          </w:p>
        </w:tc>
        <w:tc>
          <w:tcPr>
            <w:tcW w:w="0" w:type="auto"/>
            <w:gridSpan w:val="2"/>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Land tax on owned land plots - rate varies from 0.3% to 1.5% of the land book value and</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37" type="#_x0000_t75" alt="" style="width:7.3pt;height:.8pt"/>
              </w:pict>
            </w:r>
          </w:p>
        </w:tc>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38" type="#_x0000_t75" alt="" style="width:7.3pt;height:.8pt"/>
              </w:pict>
            </w:r>
          </w:p>
        </w:tc>
        <w:tc>
          <w:tcPr>
            <w:tcW w:w="0" w:type="auto"/>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depends on type of plots</w:t>
            </w:r>
          </w:p>
        </w:tc>
      </w:tr>
    </w:tbl>
    <w:p w:rsidR="004379E3" w:rsidRPr="0068182D" w:rsidRDefault="004379E3" w:rsidP="00386344">
      <w:pPr>
        <w:pStyle w:val="a6"/>
        <w:shd w:val="clear" w:color="auto" w:fill="FFFFFF"/>
        <w:spacing w:before="0" w:beforeAutospacing="0" w:after="0" w:afterAutospacing="0"/>
        <w:ind w:firstLine="567"/>
        <w:jc w:val="both"/>
        <w:rPr>
          <w:sz w:val="28"/>
          <w:szCs w:val="28"/>
        </w:rPr>
      </w:pPr>
      <w:r w:rsidRPr="0068182D">
        <w:rPr>
          <w:sz w:val="28"/>
          <w:szCs w:val="28"/>
        </w:rPr>
        <w:t>Individuals are liable for:</w:t>
      </w:r>
    </w:p>
    <w:tbl>
      <w:tblPr>
        <w:tblW w:w="5000" w:type="pct"/>
        <w:tblCellSpacing w:w="0" w:type="dxa"/>
        <w:shd w:val="clear" w:color="auto" w:fill="FFFFFF"/>
        <w:tblCellMar>
          <w:left w:w="0" w:type="dxa"/>
          <w:right w:w="0" w:type="dxa"/>
        </w:tblCellMar>
        <w:tblLook w:val="04A0"/>
      </w:tblPr>
      <w:tblGrid>
        <w:gridCol w:w="150"/>
        <w:gridCol w:w="288"/>
        <w:gridCol w:w="9200"/>
      </w:tblGrid>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39" type="#_x0000_t75" alt="" style="width:7.3pt;height:.8pt"/>
              </w:pict>
            </w:r>
          </w:p>
        </w:tc>
        <w:tc>
          <w:tcPr>
            <w:tcW w:w="0" w:type="auto"/>
            <w:gridSpan w:val="2"/>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Individual Income tax: 13% for tax residents and 30% for non-residents, 35% on interest and</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40" type="#_x0000_t75" alt="" style="width:7.3pt;height:.8pt"/>
              </w:pict>
            </w:r>
          </w:p>
        </w:tc>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41" type="#_x0000_t75" alt="" style="width:7.3pt;height:.8pt"/>
              </w:pict>
            </w:r>
          </w:p>
        </w:tc>
        <w:tc>
          <w:tcPr>
            <w:tcW w:w="0" w:type="auto"/>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similar income, 9% to15% on dividend income</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42" type="#_x0000_t75" alt="" style="width:7.3pt;height:.8pt"/>
              </w:pict>
            </w:r>
          </w:p>
        </w:tc>
        <w:tc>
          <w:tcPr>
            <w:tcW w:w="0" w:type="auto"/>
            <w:gridSpan w:val="2"/>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Property tax on immovable property</w:t>
            </w:r>
            <w:r w:rsidRPr="0068182D">
              <w:rPr>
                <w:rStyle w:val="apple-converted-space"/>
                <w:rFonts w:ascii="Times New Roman" w:hAnsi="Times New Roman" w:cs="Times New Roman"/>
                <w:sz w:val="28"/>
                <w:szCs w:val="28"/>
                <w:lang w:val="en-US"/>
              </w:rPr>
              <w:t> </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43" type="#_x0000_t75" alt="" style="width:7.3pt;height:.8pt"/>
              </w:pict>
            </w:r>
          </w:p>
        </w:tc>
        <w:tc>
          <w:tcPr>
            <w:tcW w:w="0" w:type="auto"/>
            <w:gridSpan w:val="2"/>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Land tax - similar to corporations</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44" type="#_x0000_t75" alt="" style="width:7.3pt;height:.8pt"/>
              </w:pict>
            </w:r>
          </w:p>
        </w:tc>
        <w:tc>
          <w:tcPr>
            <w:tcW w:w="0" w:type="auto"/>
            <w:gridSpan w:val="2"/>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Transport tax - similar to corporations</w:t>
            </w:r>
          </w:p>
        </w:tc>
      </w:tr>
    </w:tbl>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Please refer to</w:t>
      </w:r>
      <w:r w:rsidRPr="0068182D">
        <w:rPr>
          <w:rStyle w:val="apple-converted-space"/>
          <w:sz w:val="28"/>
          <w:szCs w:val="28"/>
          <w:lang w:val="en-US"/>
        </w:rPr>
        <w:t> </w:t>
      </w:r>
      <w:hyperlink r:id="rId638" w:history="1">
        <w:r w:rsidRPr="0068182D">
          <w:rPr>
            <w:rStyle w:val="a5"/>
            <w:b/>
            <w:bCs/>
            <w:color w:val="auto"/>
            <w:sz w:val="28"/>
            <w:szCs w:val="28"/>
            <w:lang w:val="en-US"/>
          </w:rPr>
          <w:t>Individual Income Tax</w:t>
        </w:r>
      </w:hyperlink>
      <w:r w:rsidRPr="0068182D">
        <w:rPr>
          <w:rStyle w:val="apple-converted-space"/>
          <w:sz w:val="28"/>
          <w:szCs w:val="28"/>
          <w:lang w:val="en-US"/>
        </w:rPr>
        <w:t> </w:t>
      </w:r>
      <w:r w:rsidRPr="0068182D">
        <w:rPr>
          <w:sz w:val="28"/>
          <w:szCs w:val="28"/>
          <w:lang w:val="en-US"/>
        </w:rPr>
        <w:t>for more details.</w:t>
      </w:r>
    </w:p>
    <w:p w:rsidR="00784BCE" w:rsidRDefault="00784BCE" w:rsidP="00386344">
      <w:pPr>
        <w:spacing w:after="0" w:line="240" w:lineRule="auto"/>
        <w:ind w:firstLine="567"/>
        <w:jc w:val="both"/>
        <w:rPr>
          <w:rFonts w:ascii="Times New Roman" w:hAnsi="Times New Roman" w:cs="Times New Roman"/>
          <w:b/>
          <w:bCs/>
          <w:sz w:val="28"/>
          <w:szCs w:val="28"/>
          <w:shd w:val="clear" w:color="auto" w:fill="FFFFFF"/>
          <w:lang w:val="en-US"/>
        </w:rPr>
      </w:pPr>
    </w:p>
    <w:p w:rsidR="004379E3" w:rsidRPr="0068182D" w:rsidRDefault="004379E3" w:rsidP="00386344">
      <w:pPr>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b/>
          <w:bCs/>
          <w:sz w:val="28"/>
          <w:szCs w:val="28"/>
          <w:shd w:val="clear" w:color="auto" w:fill="FFFFFF"/>
          <w:lang w:val="en-US"/>
        </w:rPr>
        <w:t>5.</w:t>
      </w:r>
      <w:r w:rsidRPr="0068182D">
        <w:rPr>
          <w:rStyle w:val="apple-converted-space"/>
          <w:rFonts w:ascii="Times New Roman" w:hAnsi="Times New Roman" w:cs="Times New Roman"/>
          <w:sz w:val="28"/>
          <w:szCs w:val="28"/>
          <w:shd w:val="clear" w:color="auto" w:fill="FFFFFF"/>
          <w:lang w:val="en-US"/>
        </w:rPr>
        <w:t> </w:t>
      </w:r>
      <w:r w:rsidRPr="0068182D">
        <w:rPr>
          <w:rFonts w:ascii="Times New Roman" w:hAnsi="Times New Roman" w:cs="Times New Roman"/>
          <w:sz w:val="28"/>
          <w:szCs w:val="28"/>
          <w:shd w:val="clear" w:color="auto" w:fill="FFFFFF"/>
          <w:lang w:val="en-US"/>
        </w:rPr>
        <w:t>Other taxes and duties are applied on specific products, activities and certain procedures carried out by notaries and governmental authorities:</w:t>
      </w:r>
      <w:r w:rsidRPr="0068182D">
        <w:rPr>
          <w:rFonts w:ascii="Times New Roman" w:hAnsi="Times New Roman" w:cs="Times New Roman"/>
          <w:sz w:val="28"/>
          <w:szCs w:val="28"/>
          <w:lang w:val="en-US"/>
        </w:rPr>
        <w:br/>
      </w:r>
    </w:p>
    <w:tbl>
      <w:tblPr>
        <w:tblW w:w="5000" w:type="pct"/>
        <w:tblCellSpacing w:w="0" w:type="dxa"/>
        <w:shd w:val="clear" w:color="auto" w:fill="FFFFFF"/>
        <w:tblCellMar>
          <w:left w:w="0" w:type="dxa"/>
          <w:right w:w="0" w:type="dxa"/>
        </w:tblCellMar>
        <w:tblLook w:val="04A0"/>
      </w:tblPr>
      <w:tblGrid>
        <w:gridCol w:w="150"/>
        <w:gridCol w:w="9488"/>
      </w:tblGrid>
      <w:tr w:rsidR="004379E3" w:rsidRPr="0068182D"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45" type="#_x0000_t75" alt="" style="width:7.3pt;height:.8pt"/>
              </w:pict>
            </w:r>
          </w:p>
        </w:tc>
        <w:tc>
          <w:tcPr>
            <w:tcW w:w="0" w:type="auto"/>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Excises</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46" type="#_x0000_t75" alt="" style="width:7.3pt;height:.8pt"/>
              </w:pict>
            </w:r>
          </w:p>
        </w:tc>
        <w:tc>
          <w:tcPr>
            <w:tcW w:w="0" w:type="auto"/>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Tax on Mineral Resources Extraction</w:t>
            </w:r>
          </w:p>
        </w:tc>
      </w:tr>
      <w:tr w:rsidR="004379E3" w:rsidRPr="0068182D"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47" type="#_x0000_t75" alt="" style="width:7.3pt;height:.8pt"/>
              </w:pict>
            </w:r>
          </w:p>
        </w:tc>
        <w:tc>
          <w:tcPr>
            <w:tcW w:w="0" w:type="auto"/>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Customs Duties</w:t>
            </w:r>
          </w:p>
        </w:tc>
      </w:tr>
      <w:tr w:rsidR="004379E3" w:rsidRPr="0068182D"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48" type="#_x0000_t75" alt="" style="width:7.3pt;height:.8pt"/>
              </w:pict>
            </w:r>
          </w:p>
        </w:tc>
        <w:tc>
          <w:tcPr>
            <w:tcW w:w="0" w:type="auto"/>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Water Tax</w:t>
            </w:r>
          </w:p>
        </w:tc>
      </w:tr>
      <w:tr w:rsidR="004379E3" w:rsidRPr="008E2EAF"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49" type="#_x0000_t75" alt="" style="width:7.3pt;height:.8pt"/>
              </w:pict>
            </w:r>
          </w:p>
        </w:tc>
        <w:tc>
          <w:tcPr>
            <w:tcW w:w="0" w:type="auto"/>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Duty on the use of Flora and Fauna</w:t>
            </w:r>
          </w:p>
        </w:tc>
      </w:tr>
      <w:tr w:rsidR="004379E3" w:rsidRPr="0068182D" w:rsidTr="00BE3110">
        <w:trPr>
          <w:tblCellSpacing w:w="0" w:type="dxa"/>
        </w:trPr>
        <w:tc>
          <w:tcPr>
            <w:tcW w:w="150" w:type="dxa"/>
            <w:shd w:val="clear" w:color="auto" w:fill="FFFFFF"/>
            <w:vAlign w:val="center"/>
            <w:hideMark/>
          </w:tcPr>
          <w:p w:rsidR="004379E3" w:rsidRPr="0068182D" w:rsidRDefault="00CD577A" w:rsidP="00386344">
            <w:pPr>
              <w:spacing w:after="0" w:line="240" w:lineRule="auto"/>
              <w:jc w:val="both"/>
              <w:rPr>
                <w:rFonts w:ascii="Times New Roman" w:hAnsi="Times New Roman" w:cs="Times New Roman"/>
                <w:sz w:val="28"/>
                <w:szCs w:val="28"/>
              </w:rPr>
            </w:pPr>
            <w:r w:rsidRPr="00CD577A">
              <w:rPr>
                <w:rFonts w:ascii="Times New Roman" w:hAnsi="Times New Roman" w:cs="Times New Roman"/>
                <w:sz w:val="28"/>
                <w:szCs w:val="28"/>
              </w:rPr>
              <w:pict>
                <v:shape id="_x0000_i1050" type="#_x0000_t75" alt="" style="width:7.3pt;height:.8pt"/>
              </w:pict>
            </w:r>
          </w:p>
        </w:tc>
        <w:tc>
          <w:tcPr>
            <w:tcW w:w="0" w:type="auto"/>
            <w:shd w:val="clear" w:color="auto" w:fill="FFFFFF"/>
            <w:vAlign w:val="cente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Stamp Duties</w:t>
            </w:r>
          </w:p>
        </w:tc>
      </w:tr>
    </w:tbl>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There are also special tax regimes for small, agricultural businesses and agreements on product sharing used for the extraction of mineral resources.</w:t>
      </w:r>
    </w:p>
    <w:p w:rsidR="004379E3" w:rsidRPr="0068182D" w:rsidRDefault="004379E3" w:rsidP="00386344">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Under small and agricultural regimes a unified tax, generally from 6% to 15% (or a fixed contribution) is paid. But certain conditions have to be satisfied in applying such regimes.</w:t>
      </w:r>
    </w:p>
    <w:p w:rsidR="004379E3" w:rsidRPr="0068182D" w:rsidRDefault="004379E3" w:rsidP="00386344">
      <w:pPr>
        <w:pStyle w:val="2"/>
        <w:shd w:val="clear" w:color="auto" w:fill="FFFFFF"/>
        <w:spacing w:before="0" w:beforeAutospacing="0" w:after="0" w:afterAutospacing="0"/>
        <w:ind w:firstLine="567"/>
        <w:jc w:val="both"/>
        <w:rPr>
          <w:b w:val="0"/>
          <w:bCs w:val="0"/>
          <w:sz w:val="28"/>
          <w:szCs w:val="28"/>
          <w:lang w:val="en-US"/>
        </w:rPr>
      </w:pPr>
      <w:r w:rsidRPr="0068182D">
        <w:rPr>
          <w:b w:val="0"/>
          <w:bCs w:val="0"/>
          <w:sz w:val="28"/>
          <w:szCs w:val="28"/>
          <w:lang w:val="en-US"/>
        </w:rPr>
        <w:t>The Corporate Tax Rate in Russia stands at 20 percent. Corporate Tax Rate in Russia averaged 23 percent from 2001 until 2017, reaching an all time high of 43 percent in 2001 and a record low of 20 percent in 2009.</w:t>
      </w:r>
    </w:p>
    <w:p w:rsidR="004379E3" w:rsidRPr="0068182D" w:rsidRDefault="004379E3" w:rsidP="00386344">
      <w:pPr>
        <w:spacing w:after="0" w:line="240" w:lineRule="auto"/>
        <w:ind w:firstLine="567"/>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6120765" cy="2851771"/>
            <wp:effectExtent l="19050" t="0" r="0" b="0"/>
            <wp:docPr id="80" name="Рисунок 80" descr="Russia Corporate Tax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Russia Corporate Tax Rate"/>
                    <pic:cNvPicPr>
                      <a:picLocks noChangeAspect="1" noChangeArrowheads="1"/>
                    </pic:cNvPicPr>
                  </pic:nvPicPr>
                  <pic:blipFill>
                    <a:blip r:embed="rId639" cstate="print"/>
                    <a:srcRect/>
                    <a:stretch>
                      <a:fillRect/>
                    </a:stretch>
                  </pic:blipFill>
                  <pic:spPr bwMode="auto">
                    <a:xfrm>
                      <a:off x="0" y="0"/>
                      <a:ext cx="6120765" cy="2851771"/>
                    </a:xfrm>
                    <a:prstGeom prst="rect">
                      <a:avLst/>
                    </a:prstGeom>
                    <a:noFill/>
                    <a:ln w="9525">
                      <a:noFill/>
                      <a:miter lim="800000"/>
                      <a:headEnd/>
                      <a:tailEnd/>
                    </a:ln>
                  </pic:spPr>
                </pic:pic>
              </a:graphicData>
            </a:graphic>
          </wp:inline>
        </w:drawing>
      </w:r>
    </w:p>
    <w:tbl>
      <w:tblPr>
        <w:tblW w:w="10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2720"/>
        <w:gridCol w:w="1082"/>
        <w:gridCol w:w="1502"/>
        <w:gridCol w:w="1372"/>
        <w:gridCol w:w="1316"/>
        <w:gridCol w:w="1315"/>
        <w:gridCol w:w="740"/>
      </w:tblGrid>
      <w:tr w:rsidR="004379E3" w:rsidRPr="0068182D" w:rsidTr="00386344">
        <w:trPr>
          <w:tblHeader/>
        </w:trPr>
        <w:tc>
          <w:tcPr>
            <w:tcW w:w="2721" w:type="dxa"/>
            <w:shd w:val="clear" w:color="auto" w:fill="FAFAFA"/>
            <w:tcMar>
              <w:top w:w="136" w:type="dxa"/>
              <w:left w:w="169"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Russia Taxes</w:t>
            </w:r>
          </w:p>
        </w:tc>
        <w:tc>
          <w:tcPr>
            <w:tcW w:w="0" w:type="auto"/>
            <w:shd w:val="clear" w:color="auto" w:fill="FAFAFA"/>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Last</w:t>
            </w:r>
          </w:p>
        </w:tc>
        <w:tc>
          <w:tcPr>
            <w:tcW w:w="0" w:type="auto"/>
            <w:shd w:val="clear" w:color="auto" w:fill="FAFAFA"/>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Previous</w:t>
            </w:r>
          </w:p>
        </w:tc>
        <w:tc>
          <w:tcPr>
            <w:tcW w:w="0" w:type="auto"/>
            <w:shd w:val="clear" w:color="auto" w:fill="FAFAFA"/>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Highest</w:t>
            </w:r>
          </w:p>
        </w:tc>
        <w:tc>
          <w:tcPr>
            <w:tcW w:w="0" w:type="auto"/>
            <w:shd w:val="clear" w:color="auto" w:fill="FAFAFA"/>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Lowest</w:t>
            </w:r>
          </w:p>
        </w:tc>
        <w:tc>
          <w:tcPr>
            <w:tcW w:w="0" w:type="auto"/>
            <w:shd w:val="clear" w:color="auto" w:fill="FAFAFA"/>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Unit</w:t>
            </w:r>
          </w:p>
        </w:tc>
        <w:tc>
          <w:tcPr>
            <w:tcW w:w="0" w:type="auto"/>
            <w:shd w:val="clear" w:color="auto" w:fill="FAFAFA"/>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p>
        </w:tc>
      </w:tr>
      <w:tr w:rsidR="004379E3" w:rsidRPr="0068182D" w:rsidTr="00386344">
        <w:tc>
          <w:tcPr>
            <w:tcW w:w="2721" w:type="dxa"/>
            <w:shd w:val="clear" w:color="auto" w:fill="FFFFFF"/>
            <w:tcMar>
              <w:top w:w="136" w:type="dxa"/>
              <w:left w:w="169"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rPr>
            </w:pPr>
            <w:hyperlink r:id="rId640" w:history="1">
              <w:r w:rsidR="004379E3" w:rsidRPr="0068182D">
                <w:rPr>
                  <w:rFonts w:ascii="Times New Roman" w:hAnsi="Times New Roman" w:cs="Times New Roman"/>
                  <w:sz w:val="28"/>
                  <w:szCs w:val="28"/>
                </w:rPr>
                <w:t>Corporate Tax Rate</w:t>
              </w:r>
            </w:hyperlink>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20.00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20.00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43.00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20.00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percent</w:t>
            </w:r>
          </w:p>
        </w:tc>
        <w:tc>
          <w:tcPr>
            <w:tcW w:w="0" w:type="auto"/>
            <w:shd w:val="clear" w:color="auto" w:fill="FFFFFF"/>
            <w:tcMar>
              <w:top w:w="136" w:type="dxa"/>
              <w:left w:w="136"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rPr>
            </w:pPr>
            <w:hyperlink r:id="rId641" w:tgtFrame="_blank" w:history="1">
              <w:r w:rsidR="004379E3" w:rsidRPr="0068182D">
                <w:rPr>
                  <w:rFonts w:ascii="Times New Roman" w:hAnsi="Times New Roman" w:cs="Times New Roman"/>
                  <w:sz w:val="28"/>
                  <w:szCs w:val="28"/>
                </w:rPr>
                <w:t>[+]</w:t>
              </w:r>
            </w:hyperlink>
          </w:p>
        </w:tc>
      </w:tr>
      <w:tr w:rsidR="004379E3" w:rsidRPr="0068182D" w:rsidTr="00386344">
        <w:tc>
          <w:tcPr>
            <w:tcW w:w="2721" w:type="dxa"/>
            <w:shd w:val="clear" w:color="auto" w:fill="FFFFFF"/>
            <w:tcMar>
              <w:top w:w="136" w:type="dxa"/>
              <w:left w:w="169"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rPr>
            </w:pPr>
            <w:hyperlink r:id="rId642" w:history="1">
              <w:r w:rsidR="004379E3" w:rsidRPr="0068182D">
                <w:rPr>
                  <w:rFonts w:ascii="Times New Roman" w:hAnsi="Times New Roman" w:cs="Times New Roman"/>
                  <w:sz w:val="28"/>
                  <w:szCs w:val="28"/>
                </w:rPr>
                <w:t>Personal Income Tax Rate</w:t>
              </w:r>
            </w:hyperlink>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13.00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13.00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13.00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13.00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percent</w:t>
            </w:r>
          </w:p>
        </w:tc>
        <w:tc>
          <w:tcPr>
            <w:tcW w:w="0" w:type="auto"/>
            <w:shd w:val="clear" w:color="auto" w:fill="FFFFFF"/>
            <w:tcMar>
              <w:top w:w="136" w:type="dxa"/>
              <w:left w:w="136"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rPr>
            </w:pPr>
            <w:hyperlink r:id="rId643" w:tgtFrame="_blank" w:history="1">
              <w:r w:rsidR="004379E3" w:rsidRPr="0068182D">
                <w:rPr>
                  <w:rFonts w:ascii="Times New Roman" w:hAnsi="Times New Roman" w:cs="Times New Roman"/>
                  <w:sz w:val="28"/>
                  <w:szCs w:val="28"/>
                </w:rPr>
                <w:t>[+]</w:t>
              </w:r>
            </w:hyperlink>
          </w:p>
        </w:tc>
      </w:tr>
      <w:tr w:rsidR="004379E3" w:rsidRPr="0068182D" w:rsidTr="00386344">
        <w:tc>
          <w:tcPr>
            <w:tcW w:w="2721" w:type="dxa"/>
            <w:shd w:val="clear" w:color="auto" w:fill="FFFFFF"/>
            <w:tcMar>
              <w:top w:w="136" w:type="dxa"/>
              <w:left w:w="169"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rPr>
            </w:pPr>
            <w:hyperlink r:id="rId644" w:history="1">
              <w:r w:rsidR="004379E3" w:rsidRPr="0068182D">
                <w:rPr>
                  <w:rFonts w:ascii="Times New Roman" w:hAnsi="Times New Roman" w:cs="Times New Roman"/>
                  <w:sz w:val="28"/>
                  <w:szCs w:val="28"/>
                </w:rPr>
                <w:t>Sales Tax Rate</w:t>
              </w:r>
            </w:hyperlink>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18.00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18.00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18.00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18.00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percent</w:t>
            </w:r>
          </w:p>
        </w:tc>
        <w:tc>
          <w:tcPr>
            <w:tcW w:w="0" w:type="auto"/>
            <w:shd w:val="clear" w:color="auto" w:fill="FFFFFF"/>
            <w:tcMar>
              <w:top w:w="136" w:type="dxa"/>
              <w:left w:w="136"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rPr>
            </w:pPr>
            <w:hyperlink r:id="rId645" w:tgtFrame="_blank" w:history="1">
              <w:r w:rsidR="004379E3" w:rsidRPr="0068182D">
                <w:rPr>
                  <w:rFonts w:ascii="Times New Roman" w:hAnsi="Times New Roman" w:cs="Times New Roman"/>
                  <w:sz w:val="28"/>
                  <w:szCs w:val="28"/>
                </w:rPr>
                <w:t>[+]</w:t>
              </w:r>
            </w:hyperlink>
          </w:p>
        </w:tc>
      </w:tr>
      <w:tr w:rsidR="004379E3" w:rsidRPr="0068182D" w:rsidTr="00386344">
        <w:tc>
          <w:tcPr>
            <w:tcW w:w="2721" w:type="dxa"/>
            <w:shd w:val="clear" w:color="auto" w:fill="FFFFFF"/>
            <w:tcMar>
              <w:top w:w="136" w:type="dxa"/>
              <w:left w:w="169"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rPr>
            </w:pPr>
            <w:hyperlink r:id="rId646" w:history="1">
              <w:r w:rsidR="004379E3" w:rsidRPr="0068182D">
                <w:rPr>
                  <w:rFonts w:ascii="Times New Roman" w:hAnsi="Times New Roman" w:cs="Times New Roman"/>
                  <w:sz w:val="28"/>
                  <w:szCs w:val="28"/>
                </w:rPr>
                <w:t>Social Security Rate</w:t>
              </w:r>
            </w:hyperlink>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30.00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30.00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35.60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26.00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percent</w:t>
            </w:r>
          </w:p>
        </w:tc>
        <w:tc>
          <w:tcPr>
            <w:tcW w:w="0" w:type="auto"/>
            <w:shd w:val="clear" w:color="auto" w:fill="FFFFFF"/>
            <w:tcMar>
              <w:top w:w="136" w:type="dxa"/>
              <w:left w:w="136"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rPr>
            </w:pPr>
            <w:hyperlink r:id="rId647" w:tgtFrame="_blank" w:history="1">
              <w:r w:rsidR="004379E3" w:rsidRPr="0068182D">
                <w:rPr>
                  <w:rFonts w:ascii="Times New Roman" w:hAnsi="Times New Roman" w:cs="Times New Roman"/>
                  <w:sz w:val="28"/>
                  <w:szCs w:val="28"/>
                </w:rPr>
                <w:t>[+]</w:t>
              </w:r>
            </w:hyperlink>
          </w:p>
        </w:tc>
      </w:tr>
      <w:tr w:rsidR="004379E3" w:rsidRPr="0068182D" w:rsidTr="00386344">
        <w:tc>
          <w:tcPr>
            <w:tcW w:w="2721" w:type="dxa"/>
            <w:shd w:val="clear" w:color="auto" w:fill="FFFFFF"/>
            <w:tcMar>
              <w:top w:w="136" w:type="dxa"/>
              <w:left w:w="169"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lang w:val="en-US"/>
              </w:rPr>
            </w:pPr>
            <w:hyperlink r:id="rId648" w:history="1">
              <w:r w:rsidR="004379E3" w:rsidRPr="0068182D">
                <w:rPr>
                  <w:rFonts w:ascii="Times New Roman" w:hAnsi="Times New Roman" w:cs="Times New Roman"/>
                  <w:sz w:val="28"/>
                  <w:szCs w:val="28"/>
                  <w:lang w:val="en-US"/>
                </w:rPr>
                <w:t>Social Security Rate For Companies</w:t>
              </w:r>
            </w:hyperlink>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30.00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30.00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35.60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26.00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percent</w:t>
            </w:r>
          </w:p>
        </w:tc>
        <w:tc>
          <w:tcPr>
            <w:tcW w:w="0" w:type="auto"/>
            <w:shd w:val="clear" w:color="auto" w:fill="FFFFFF"/>
            <w:tcMar>
              <w:top w:w="136" w:type="dxa"/>
              <w:left w:w="136"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rPr>
            </w:pPr>
            <w:hyperlink r:id="rId649" w:tgtFrame="_blank" w:history="1">
              <w:r w:rsidR="004379E3" w:rsidRPr="0068182D">
                <w:rPr>
                  <w:rFonts w:ascii="Times New Roman" w:hAnsi="Times New Roman" w:cs="Times New Roman"/>
                  <w:sz w:val="28"/>
                  <w:szCs w:val="28"/>
                </w:rPr>
                <w:t>[+]</w:t>
              </w:r>
            </w:hyperlink>
          </w:p>
        </w:tc>
      </w:tr>
      <w:tr w:rsidR="004379E3" w:rsidRPr="0068182D" w:rsidTr="00386344">
        <w:tc>
          <w:tcPr>
            <w:tcW w:w="2721" w:type="dxa"/>
            <w:shd w:val="clear" w:color="auto" w:fill="FFFFFF"/>
            <w:tcMar>
              <w:top w:w="136" w:type="dxa"/>
              <w:left w:w="169"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lang w:val="en-US"/>
              </w:rPr>
            </w:pPr>
            <w:hyperlink r:id="rId650" w:history="1">
              <w:r w:rsidR="004379E3" w:rsidRPr="0068182D">
                <w:rPr>
                  <w:rFonts w:ascii="Times New Roman" w:hAnsi="Times New Roman" w:cs="Times New Roman"/>
                  <w:sz w:val="28"/>
                  <w:szCs w:val="28"/>
                  <w:lang w:val="en-US"/>
                </w:rPr>
                <w:t>Social Security Rate For Employees</w:t>
              </w:r>
            </w:hyperlink>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0.00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0.00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0.00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0.00</w:t>
            </w:r>
          </w:p>
        </w:tc>
        <w:tc>
          <w:tcPr>
            <w:tcW w:w="0" w:type="auto"/>
            <w:shd w:val="clear" w:color="auto" w:fill="FFFFFF"/>
            <w:tcMar>
              <w:top w:w="136" w:type="dxa"/>
              <w:left w:w="136" w:type="dxa"/>
              <w:bottom w:w="136" w:type="dxa"/>
              <w:right w:w="136" w:type="dxa"/>
            </w:tcMar>
            <w:hideMark/>
          </w:tcPr>
          <w:p w:rsidR="004379E3" w:rsidRPr="0068182D" w:rsidRDefault="004379E3" w:rsidP="00386344">
            <w:pPr>
              <w:spacing w:after="0" w:line="240" w:lineRule="auto"/>
              <w:jc w:val="both"/>
              <w:rPr>
                <w:rFonts w:ascii="Times New Roman" w:hAnsi="Times New Roman" w:cs="Times New Roman"/>
                <w:sz w:val="28"/>
                <w:szCs w:val="28"/>
              </w:rPr>
            </w:pPr>
            <w:r w:rsidRPr="0068182D">
              <w:rPr>
                <w:rFonts w:ascii="Times New Roman" w:hAnsi="Times New Roman" w:cs="Times New Roman"/>
                <w:sz w:val="28"/>
                <w:szCs w:val="28"/>
              </w:rPr>
              <w:t>percent</w:t>
            </w:r>
          </w:p>
        </w:tc>
        <w:tc>
          <w:tcPr>
            <w:tcW w:w="0" w:type="auto"/>
            <w:shd w:val="clear" w:color="auto" w:fill="FFFFFF"/>
            <w:tcMar>
              <w:top w:w="136" w:type="dxa"/>
              <w:left w:w="136" w:type="dxa"/>
              <w:bottom w:w="136" w:type="dxa"/>
              <w:right w:w="136" w:type="dxa"/>
            </w:tcMar>
            <w:hideMark/>
          </w:tcPr>
          <w:p w:rsidR="004379E3" w:rsidRPr="0068182D" w:rsidRDefault="00CD577A" w:rsidP="00386344">
            <w:pPr>
              <w:spacing w:after="0" w:line="240" w:lineRule="auto"/>
              <w:jc w:val="both"/>
              <w:rPr>
                <w:rFonts w:ascii="Times New Roman" w:hAnsi="Times New Roman" w:cs="Times New Roman"/>
                <w:sz w:val="28"/>
                <w:szCs w:val="28"/>
              </w:rPr>
            </w:pPr>
            <w:hyperlink r:id="rId651" w:tgtFrame="_blank" w:history="1">
              <w:r w:rsidR="004379E3" w:rsidRPr="0068182D">
                <w:rPr>
                  <w:rFonts w:ascii="Times New Roman" w:hAnsi="Times New Roman" w:cs="Times New Roman"/>
                  <w:sz w:val="28"/>
                  <w:szCs w:val="28"/>
                </w:rPr>
                <w:t>[+]</w:t>
              </w:r>
            </w:hyperlink>
          </w:p>
        </w:tc>
      </w:tr>
    </w:tbl>
    <w:p w:rsidR="004379E3" w:rsidRPr="0068182D" w:rsidRDefault="004379E3" w:rsidP="00C40532">
      <w:pPr>
        <w:pStyle w:val="2"/>
        <w:shd w:val="clear" w:color="auto" w:fill="FFFFFF"/>
        <w:spacing w:before="0" w:beforeAutospacing="0" w:after="0" w:afterAutospacing="0"/>
        <w:jc w:val="both"/>
        <w:rPr>
          <w:sz w:val="28"/>
          <w:szCs w:val="28"/>
          <w:lang w:val="en-US"/>
        </w:rPr>
      </w:pPr>
    </w:p>
    <w:p w:rsidR="004379E3" w:rsidRPr="0068182D" w:rsidRDefault="004379E3" w:rsidP="00C40532">
      <w:pPr>
        <w:spacing w:after="0" w:line="240" w:lineRule="auto"/>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6.</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main directions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tax and 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policy</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Russian Federation</w:t>
      </w:r>
      <w:r w:rsidRPr="0068182D">
        <w:rPr>
          <w:rFonts w:ascii="Times New Roman" w:hAnsi="Times New Roman" w:cs="Times New Roman"/>
          <w:b/>
          <w:sz w:val="28"/>
          <w:szCs w:val="28"/>
          <w:lang w:val="en-US"/>
        </w:rPr>
        <w:t>.</w:t>
      </w:r>
    </w:p>
    <w:p w:rsidR="004379E3" w:rsidRPr="0068182D" w:rsidRDefault="004379E3" w:rsidP="00C40532">
      <w:pPr>
        <w:spacing w:after="0" w:line="240" w:lineRule="auto"/>
        <w:jc w:val="both"/>
        <w:rPr>
          <w:rFonts w:ascii="Times New Roman" w:hAnsi="Times New Roman" w:cs="Times New Roman"/>
          <w:sz w:val="28"/>
          <w:szCs w:val="28"/>
          <w:lang w:val="en-US"/>
        </w:rPr>
      </w:pPr>
    </w:p>
    <w:p w:rsidR="00784BCE" w:rsidRDefault="004379E3" w:rsidP="00784BCE">
      <w:pPr>
        <w:pStyle w:val="a6"/>
        <w:shd w:val="clear" w:color="auto" w:fill="FFFFFF"/>
        <w:spacing w:before="0" w:beforeAutospacing="0" w:after="0" w:afterAutospacing="0"/>
        <w:ind w:firstLine="567"/>
        <w:jc w:val="both"/>
        <w:textAlignment w:val="baseline"/>
        <w:rPr>
          <w:sz w:val="28"/>
          <w:szCs w:val="28"/>
          <w:lang w:val="en-US"/>
        </w:rPr>
      </w:pPr>
      <w:r w:rsidRPr="0068182D">
        <w:rPr>
          <w:sz w:val="28"/>
          <w:szCs w:val="28"/>
          <w:lang w:val="en-US"/>
        </w:rPr>
        <w:t xml:space="preserve">In the sphere of budgetary policy, the guidelines for state actions are fixed by the law. The budget of the next year is commonly planned by fixing of the income and expenses within the functional budgetary classification (further FBC). Its account indicators are approved by article 124 of the bill according to «sections and subsections» of FBC with reference to Appendix 11 of the law on the budget, as well as under the «target articles and types of expenses» with reference to Appendix 12. At the same time the income is considered solely by the bill «on the main sources» in article 24 without its obvious binding to the Budgetary classification. As a result, in the law on the budget the income is presented not in the format of expenses, and not in the system, in which it will be considered in the course of the budget execution. Thus, it provides the basis for arising of various ambiguities, various interpretation, incomparability of the data and other disagreements that complicate the possibility of control of performance of the law on the budget. Meanwhile, the standards of the existing budgetary legislation allow the Government to spend the remains of budgetary funds formed at the beginning of year rather freely. It is connected with the illegibility of standards of the Budgetary code, in which there are no descriptions of the structure of the budget of the year and structure of laws on the budget of the year. In the text of the law on the annual budget (article 2), an additional degree of freedom in an expenditure of this rest without statement and even without notice of legislators is provided to the Government. As a result, the usefulness of reports on budget performance, if they also existed, is sharply depreciated, has a purely informative nature, instead of being of a supervisory character. Besides, as it was noted earlier, the Government has similar freedom when using up the extra-planned income. All this allows speaking about the absence of a due legislative supervision over the budget performance in Russia. It is obvious that the budgetary policy in the Russian Federation demands improvement and an individual approach to each element and the direction of its formation at the present stage. 4. Ways of a solution The required priority objectives of the planned expenditure commitments and, consequently, optimization, and a more effective use of financial resources - are one of the most important areas that should be covered in the budget policy and draw more attention. It is necessary to minimize the risks of unbalanced budget at the federal, regional and local levels with the direct implementation of the budget planning. Therefore, it should be based on real assessment of the draft budget and socio-economic development in the medium term. The introduction of the expert panel discussion will also serve as an additional safety net, since that will help to assess the draft budget for the planning period more accurately. It is necessary to increase the level of resistance of the budget and dispose of its heavy dependence on the external market conditions. The fiscal rules that will ensure the reduction of non-oil budget deficit can serve as a main mechanism in this part. </w:t>
      </w:r>
    </w:p>
    <w:p w:rsidR="00784BCE" w:rsidRDefault="004379E3" w:rsidP="00784BCE">
      <w:pPr>
        <w:pStyle w:val="a6"/>
        <w:shd w:val="clear" w:color="auto" w:fill="FFFFFF"/>
        <w:spacing w:before="0" w:beforeAutospacing="0" w:after="0" w:afterAutospacing="0"/>
        <w:ind w:firstLine="567"/>
        <w:jc w:val="both"/>
        <w:textAlignment w:val="baseline"/>
        <w:rPr>
          <w:sz w:val="28"/>
          <w:szCs w:val="28"/>
          <w:lang w:val="en-US"/>
        </w:rPr>
      </w:pPr>
      <w:r w:rsidRPr="0068182D">
        <w:rPr>
          <w:sz w:val="28"/>
          <w:szCs w:val="28"/>
          <w:lang w:val="en-US"/>
        </w:rPr>
        <w:t xml:space="preserve">Improvement of system of an expenditure In the case of limited financial resources, an important rule consists in the fact that you must choose the most faithful direction of budget spending in order to achieve the required level of effectiveness of the implementation of fiscal policy in the long run. The implementation of the budget strategy of the Russian Federation in the long term will allow us to assess the direction of fiscal policy by means of obtaining of achieved balance and stability of the budget system of the Russian Federation. The effective, balanced budget policy will help to reduce the dependence of the federal budget and the budget system on income-oriented opportunism. In the future, there will be a complete transition to budgeting, which is based on the government programs. This will directly affect the subjects and local entities, obliging them to focus on the federal level in the future. Most state programs of the Russian Federation have significant drawbacks that today do not allow one to consider these programs as a mechanism of program planning. Therefore, along with the consideration of the federal draft budget for the next fiscal year, the basic public discussion of the government programs of the Russian Federation should be provided, taking into account the changes made to them, including the «ceiling» spending until 2020. </w:t>
      </w:r>
    </w:p>
    <w:p w:rsidR="004379E3" w:rsidRPr="0068182D" w:rsidRDefault="004379E3" w:rsidP="00784BCE">
      <w:pPr>
        <w:pStyle w:val="a6"/>
        <w:shd w:val="clear" w:color="auto" w:fill="FFFFFF"/>
        <w:spacing w:before="0" w:beforeAutospacing="0" w:after="0" w:afterAutospacing="0"/>
        <w:ind w:firstLine="567"/>
        <w:jc w:val="both"/>
        <w:textAlignment w:val="baseline"/>
        <w:rPr>
          <w:sz w:val="28"/>
          <w:szCs w:val="28"/>
          <w:lang w:val="en-US"/>
        </w:rPr>
      </w:pPr>
      <w:r w:rsidRPr="0068182D">
        <w:rPr>
          <w:sz w:val="28"/>
          <w:szCs w:val="28"/>
          <w:lang w:val="en-US"/>
        </w:rPr>
        <w:t>Increase in the income of the budget Along with improvements in expenditures, we have to find the options to increase the revenues. However, the revenue growth can be achieved by means of the improved tax administration in terms of tax revenues, contributing to an increase in profitability. In order to improve tax administration and tax policy, the State should revise the factors influencing it; therefore, there is an objective necessity of an approach to the following key areas: x The formation of additional conditions for the realization of innovative activity of public and private sectors; x The use of tools related to public-private partnership to create sources of investment in the health and educational institutions (exemption from income tax in these social sectors); x Strengthening of the tax base of the budget system of the Russian Federation by creating new emerging businesses. It also seems necessary to analyze and assess the performance impact of the existing tax and customs instruments on the economy. Since all of the above-mentioned activities are linked directly to the improvement of funding from the budget, it is advisable to create the concept of socio-economic development of the Federation as a whole, as well as the subjects of the Russian Federation. It is necessary to provide it with a forming agent of resource potential of regions and monitor regional and interregional financial flows, in which the region is involved. (Denisov Ya.A., 2012) 4.3. Improvement of the interbudgetary process The questions concerning the ways of improvement of budgets management and, therefore, finances are the most important set of controls of federation, regions and municipalities. The problems of the budgetary process are so vast that we cannot talk about the creating a unified management system of budgetary flows at the regional and federal levels. Today the actively discussed aspects are related to the effectiveness of the organization of intergovernmental relations, conflict resolution, without any economic and financial interests at all levels of government along with the ambiguity of interaction among the state, individuals and legal entities. The increase in the intergovernmental transfers implies the fact that control over the movement of funds within the country should be unified. The points regarding the performance and use of funds and intergovernmental transfers flashed out of sight of authorities monitoring this issue. As to financial instruments used in the implementation of intergovernmental relations in spending, we can note that an extensive approach to finance prevails. The questions on the methodology and techniques of use of budgetary funds have been underdeveloped in relation to the specific conditions of the Russian economy. (Safiullina, R. T., 2013) Among the areas of improvement of fiscal federalism in the budget legislation we should outline the following:</w:t>
      </w:r>
    </w:p>
    <w:p w:rsidR="004379E3" w:rsidRPr="0068182D" w:rsidRDefault="004379E3" w:rsidP="00784BCE">
      <w:pPr>
        <w:pStyle w:val="a6"/>
        <w:shd w:val="clear" w:color="auto" w:fill="FFFFFF"/>
        <w:spacing w:before="0" w:beforeAutospacing="0" w:after="0" w:afterAutospacing="0"/>
        <w:ind w:firstLine="567"/>
        <w:jc w:val="both"/>
        <w:textAlignment w:val="baseline"/>
        <w:rPr>
          <w:color w:val="000000"/>
          <w:sz w:val="28"/>
          <w:szCs w:val="28"/>
          <w:lang w:val="en-US"/>
        </w:rPr>
      </w:pPr>
      <w:r w:rsidRPr="0068182D">
        <w:rPr>
          <w:sz w:val="28"/>
          <w:szCs w:val="28"/>
          <w:lang w:val="en-US"/>
        </w:rPr>
        <w:t>Establishment of priorities of fiscal equalization as an effective instrument of economic alignment of regions and municipalities; x Introduction of the principle of «equal deficit» budgets and instruments of its achievement in the practice of budget planning at all levels; x Preservation of the independence of budgets and responsibilities of governments at the corresponding level of the balance of the budget system, based on tax capacity of the corresponding territory, subjected to the provision of the necessary tax initiative. (Sokolov B. I., 2012)</w:t>
      </w:r>
    </w:p>
    <w:p w:rsidR="004379E3" w:rsidRPr="0068182D" w:rsidRDefault="004379E3" w:rsidP="00784BCE">
      <w:pPr>
        <w:pStyle w:val="a6"/>
        <w:shd w:val="clear" w:color="auto" w:fill="FFFFFF"/>
        <w:spacing w:before="0" w:beforeAutospacing="0" w:after="0" w:afterAutospacing="0"/>
        <w:ind w:firstLine="567"/>
        <w:jc w:val="both"/>
        <w:textAlignment w:val="baseline"/>
        <w:rPr>
          <w:color w:val="000000"/>
          <w:sz w:val="28"/>
          <w:szCs w:val="28"/>
          <w:lang w:val="en-US"/>
        </w:rPr>
      </w:pPr>
      <w:r w:rsidRPr="0068182D">
        <w:rPr>
          <w:color w:val="000000"/>
          <w:sz w:val="28"/>
          <w:szCs w:val="28"/>
          <w:lang w:val="en-US"/>
        </w:rPr>
        <w:t>The state Duma Committee on budget and taxes on Monday at the meeting recommended the lower chamber of Parliament to approve the second reading of two bills providing for the unification of the basic directions budgetary, tax and customs tariff policy into a single document; relevant amendments are proposed to the Budget code and the law «On parliamentary control».</w:t>
      </w:r>
    </w:p>
    <w:p w:rsidR="004379E3" w:rsidRPr="0068182D" w:rsidRDefault="004379E3" w:rsidP="00784BCE">
      <w:pPr>
        <w:pStyle w:val="a6"/>
        <w:shd w:val="clear" w:color="auto" w:fill="FFFFFF"/>
        <w:spacing w:before="0" w:beforeAutospacing="0" w:after="0" w:afterAutospacing="0"/>
        <w:ind w:firstLine="567"/>
        <w:jc w:val="both"/>
        <w:textAlignment w:val="baseline"/>
        <w:rPr>
          <w:color w:val="000000"/>
          <w:sz w:val="28"/>
          <w:szCs w:val="28"/>
          <w:lang w:val="en-US"/>
        </w:rPr>
      </w:pPr>
      <w:r w:rsidRPr="0068182D">
        <w:rPr>
          <w:color w:val="000000"/>
          <w:sz w:val="28"/>
          <w:szCs w:val="28"/>
          <w:lang w:val="en-US"/>
        </w:rPr>
        <w:t>Now the main directions of the budget policy (NBP), main directions of tax policy (ENP) and the main directions of customs tariff policy (OTTP) prepared by the government of the Russian Federation. Previously separate documents onbp, ONP and HTTP were brought in the state Duma separately.</w:t>
      </w:r>
    </w:p>
    <w:p w:rsidR="004379E3" w:rsidRPr="0068182D" w:rsidRDefault="004379E3" w:rsidP="00784BCE">
      <w:pPr>
        <w:pStyle w:val="a6"/>
        <w:shd w:val="clear" w:color="auto" w:fill="FFFFFF"/>
        <w:spacing w:before="0" w:beforeAutospacing="0" w:after="0" w:afterAutospacing="0"/>
        <w:ind w:firstLine="567"/>
        <w:jc w:val="both"/>
        <w:textAlignment w:val="baseline"/>
        <w:rPr>
          <w:color w:val="000000"/>
          <w:sz w:val="28"/>
          <w:szCs w:val="28"/>
          <w:lang w:val="en-US"/>
        </w:rPr>
      </w:pPr>
      <w:r w:rsidRPr="0068182D">
        <w:rPr>
          <w:color w:val="000000"/>
          <w:sz w:val="28"/>
          <w:szCs w:val="28"/>
          <w:lang w:val="en-US"/>
        </w:rPr>
        <w:t>«Given that fiscal, tax and customs tariff policy are tools, and an inseparable, integral parts of the overall economic policy of the country, the obvious practical usefulness of the preparation of the single document, allowing you to eliminate the internal contradictions between the proposed measures in the tax and budget policy, and to apply the same approach to the drafting of the document», — stated in the explanatory note to the bill.</w:t>
      </w:r>
    </w:p>
    <w:p w:rsidR="004379E3" w:rsidRPr="0068182D" w:rsidRDefault="004379E3" w:rsidP="00C40532">
      <w:pPr>
        <w:spacing w:after="0" w:line="240" w:lineRule="auto"/>
        <w:jc w:val="both"/>
        <w:rPr>
          <w:rFonts w:ascii="Times New Roman" w:hAnsi="Times New Roman" w:cs="Times New Roman"/>
          <w:sz w:val="28"/>
          <w:szCs w:val="28"/>
          <w:lang w:val="en-US"/>
        </w:rPr>
      </w:pPr>
    </w:p>
    <w:p w:rsidR="00E576A5" w:rsidRPr="0068182D" w:rsidRDefault="00E576A5" w:rsidP="00E576A5">
      <w:pPr>
        <w:shd w:val="clear" w:color="auto" w:fill="FFFFFF"/>
        <w:tabs>
          <w:tab w:val="left" w:pos="426"/>
        </w:tabs>
        <w:spacing w:after="0" w:line="240" w:lineRule="auto"/>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Control questions</w:t>
      </w:r>
    </w:p>
    <w:p w:rsidR="00E576A5" w:rsidRPr="0068182D" w:rsidRDefault="00E576A5" w:rsidP="00E576A5">
      <w:pPr>
        <w:shd w:val="clear" w:color="auto" w:fill="FFFFFF"/>
        <w:tabs>
          <w:tab w:val="left" w:pos="426"/>
        </w:tabs>
        <w:spacing w:after="0" w:line="240" w:lineRule="auto"/>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1.</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composition 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characteristics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units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Russian financial</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system.</w:t>
      </w:r>
      <w:r w:rsidRPr="0068182D">
        <w:rPr>
          <w:rFonts w:ascii="Times New Roman" w:hAnsi="Times New Roman" w:cs="Times New Roman"/>
          <w:sz w:val="28"/>
          <w:szCs w:val="28"/>
          <w:lang w:val="en-US"/>
        </w:rPr>
        <w:br/>
      </w:r>
      <w:r w:rsidRPr="0068182D">
        <w:rPr>
          <w:rStyle w:val="hps"/>
          <w:rFonts w:ascii="Times New Roman" w:hAnsi="Times New Roman" w:cs="Times New Roman"/>
          <w:sz w:val="28"/>
          <w:szCs w:val="28"/>
          <w:lang w:val="en-US"/>
        </w:rPr>
        <w:t>2.</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composition 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structure of the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state budget revenues 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expenditures</w:t>
      </w:r>
      <w:r w:rsidRPr="0068182D">
        <w:rPr>
          <w:rFonts w:ascii="Times New Roman" w:hAnsi="Times New Roman" w:cs="Times New Roman"/>
          <w:sz w:val="28"/>
          <w:szCs w:val="28"/>
          <w:lang w:val="en-US"/>
        </w:rPr>
        <w:t>.</w:t>
      </w:r>
      <w:r w:rsidRPr="0068182D">
        <w:rPr>
          <w:rFonts w:ascii="Times New Roman" w:hAnsi="Times New Roman" w:cs="Times New Roman"/>
          <w:sz w:val="28"/>
          <w:szCs w:val="28"/>
          <w:lang w:val="en-US"/>
        </w:rPr>
        <w:br/>
      </w:r>
      <w:r w:rsidRPr="0068182D">
        <w:rPr>
          <w:rStyle w:val="hps"/>
          <w:rFonts w:ascii="Times New Roman" w:hAnsi="Times New Roman" w:cs="Times New Roman"/>
          <w:sz w:val="28"/>
          <w:szCs w:val="28"/>
          <w:lang w:val="en-US"/>
        </w:rPr>
        <w:t>3.</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Extra-budgetary funds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and their role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 the financial 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Public credit</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and public debt</w:t>
      </w:r>
      <w:r w:rsidRPr="0068182D">
        <w:rPr>
          <w:rFonts w:ascii="Times New Roman" w:hAnsi="Times New Roman" w:cs="Times New Roman"/>
          <w:sz w:val="28"/>
          <w:szCs w:val="28"/>
          <w:lang w:val="en-US"/>
        </w:rPr>
        <w:t>.</w:t>
      </w:r>
    </w:p>
    <w:p w:rsidR="00E576A5" w:rsidRPr="0068182D" w:rsidRDefault="00E576A5" w:rsidP="000537F4">
      <w:pPr>
        <w:pStyle w:val="a4"/>
        <w:numPr>
          <w:ilvl w:val="0"/>
          <w:numId w:val="20"/>
        </w:numPr>
        <w:shd w:val="clear" w:color="auto" w:fill="FFFFFF"/>
        <w:tabs>
          <w:tab w:val="left" w:pos="426"/>
        </w:tabs>
        <w:spacing w:after="0" w:line="240" w:lineRule="auto"/>
        <w:ind w:left="0" w:firstLine="0"/>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organization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local finances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value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local budgets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 the social</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infrastructure of the region</w:t>
      </w:r>
      <w:r w:rsidRPr="0068182D">
        <w:rPr>
          <w:rFonts w:ascii="Times New Roman" w:hAnsi="Times New Roman" w:cs="Times New Roman"/>
          <w:sz w:val="28"/>
          <w:szCs w:val="28"/>
          <w:lang w:val="en-US"/>
        </w:rPr>
        <w:t>.</w:t>
      </w:r>
    </w:p>
    <w:p w:rsidR="00E576A5" w:rsidRPr="0068182D" w:rsidRDefault="00E576A5" w:rsidP="000537F4">
      <w:pPr>
        <w:pStyle w:val="a4"/>
        <w:numPr>
          <w:ilvl w:val="0"/>
          <w:numId w:val="20"/>
        </w:numPr>
        <w:shd w:val="clear" w:color="auto" w:fill="FFFFFF"/>
        <w:tabs>
          <w:tab w:val="left" w:pos="426"/>
        </w:tabs>
        <w:spacing w:after="0" w:line="240" w:lineRule="auto"/>
        <w:ind w:left="0" w:firstLine="0"/>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Specifics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tax collection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 the Russian Federation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Characteristics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tax system</w:t>
      </w:r>
      <w:r w:rsidRPr="0068182D">
        <w:rPr>
          <w:rFonts w:ascii="Times New Roman" w:hAnsi="Times New Roman" w:cs="Times New Roman"/>
          <w:sz w:val="28"/>
          <w:szCs w:val="28"/>
          <w:lang w:val="en-US"/>
        </w:rPr>
        <w:t>.</w:t>
      </w:r>
    </w:p>
    <w:p w:rsidR="00E576A5" w:rsidRPr="0068182D" w:rsidRDefault="00E576A5" w:rsidP="000537F4">
      <w:pPr>
        <w:pStyle w:val="a4"/>
        <w:numPr>
          <w:ilvl w:val="0"/>
          <w:numId w:val="20"/>
        </w:numPr>
        <w:tabs>
          <w:tab w:val="left" w:pos="426"/>
        </w:tabs>
        <w:spacing w:after="0" w:line="240" w:lineRule="auto"/>
        <w:ind w:left="0" w:firstLine="0"/>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main directions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tax and budget</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policy</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the Russian Federation</w:t>
      </w:r>
      <w:r w:rsidRPr="0068182D">
        <w:rPr>
          <w:rFonts w:ascii="Times New Roman" w:hAnsi="Times New Roman" w:cs="Times New Roman"/>
          <w:sz w:val="28"/>
          <w:szCs w:val="28"/>
          <w:lang w:val="en-US"/>
        </w:rPr>
        <w:t>.</w:t>
      </w:r>
    </w:p>
    <w:p w:rsidR="00E576A5" w:rsidRPr="0068182D" w:rsidRDefault="00E576A5" w:rsidP="00C40532">
      <w:pPr>
        <w:shd w:val="clear" w:color="auto" w:fill="FFFFFF"/>
        <w:spacing w:after="0" w:line="240" w:lineRule="auto"/>
        <w:ind w:firstLine="567"/>
        <w:jc w:val="center"/>
        <w:rPr>
          <w:rStyle w:val="hps"/>
          <w:rFonts w:ascii="Times New Roman" w:hAnsi="Times New Roman" w:cs="Times New Roman"/>
          <w:b/>
          <w:sz w:val="28"/>
          <w:szCs w:val="28"/>
          <w:lang w:val="en-US"/>
        </w:rPr>
      </w:pPr>
    </w:p>
    <w:p w:rsidR="00E576A5" w:rsidRPr="0068182D" w:rsidRDefault="00E576A5" w:rsidP="00C40532">
      <w:pPr>
        <w:shd w:val="clear" w:color="auto" w:fill="FFFFFF"/>
        <w:spacing w:after="0" w:line="240" w:lineRule="auto"/>
        <w:ind w:firstLine="567"/>
        <w:jc w:val="center"/>
        <w:rPr>
          <w:rStyle w:val="hps"/>
          <w:rFonts w:ascii="Times New Roman" w:hAnsi="Times New Roman" w:cs="Times New Roman"/>
          <w:b/>
          <w:sz w:val="28"/>
          <w:szCs w:val="28"/>
          <w:lang w:val="en-US"/>
        </w:rPr>
      </w:pPr>
    </w:p>
    <w:p w:rsidR="004379E3" w:rsidRPr="0068182D" w:rsidRDefault="004379E3" w:rsidP="00C40532">
      <w:pPr>
        <w:shd w:val="clear" w:color="auto" w:fill="FFFFFF"/>
        <w:spacing w:after="0" w:line="240" w:lineRule="auto"/>
        <w:ind w:firstLine="567"/>
        <w:jc w:val="center"/>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Theme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14. Basic</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features and 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financial systems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Central Asian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Republics</w:t>
      </w:r>
    </w:p>
    <w:p w:rsidR="004379E3" w:rsidRPr="0068182D" w:rsidRDefault="004379E3" w:rsidP="00C40532">
      <w:pPr>
        <w:shd w:val="clear" w:color="auto" w:fill="FFFFFF"/>
        <w:spacing w:after="0" w:line="240" w:lineRule="auto"/>
        <w:ind w:firstLine="567"/>
        <w:jc w:val="center"/>
        <w:rPr>
          <w:rStyle w:val="hps"/>
          <w:rFonts w:ascii="Times New Roman" w:hAnsi="Times New Roman" w:cs="Times New Roman"/>
          <w:b/>
          <w:sz w:val="28"/>
          <w:szCs w:val="28"/>
          <w:lang w:val="en-US"/>
        </w:rPr>
      </w:pPr>
    </w:p>
    <w:p w:rsidR="004379E3" w:rsidRPr="0068182D" w:rsidRDefault="004379E3" w:rsidP="000537F4">
      <w:pPr>
        <w:pStyle w:val="a4"/>
        <w:numPr>
          <w:ilvl w:val="0"/>
          <w:numId w:val="29"/>
        </w:numPr>
        <w:shd w:val="clear" w:color="auto" w:fill="FFFFFF"/>
        <w:tabs>
          <w:tab w:val="left" w:pos="851"/>
        </w:tabs>
        <w:spacing w:after="0" w:line="240" w:lineRule="auto"/>
        <w:ind w:left="0" w:firstLine="567"/>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Description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Uzbekistan.</w:t>
      </w:r>
    </w:p>
    <w:p w:rsidR="004379E3" w:rsidRPr="0068182D" w:rsidRDefault="004379E3" w:rsidP="000537F4">
      <w:pPr>
        <w:pStyle w:val="a4"/>
        <w:numPr>
          <w:ilvl w:val="0"/>
          <w:numId w:val="29"/>
        </w:numPr>
        <w:shd w:val="clear" w:color="auto" w:fill="FFFFFF"/>
        <w:tabs>
          <w:tab w:val="left" w:pos="851"/>
        </w:tabs>
        <w:spacing w:after="0" w:line="240" w:lineRule="auto"/>
        <w:ind w:left="0" w:firstLine="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composition of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Kyrgyzstan</w:t>
      </w:r>
      <w:r w:rsidRPr="0068182D">
        <w:rPr>
          <w:rFonts w:ascii="Times New Roman" w:hAnsi="Times New Roman" w:cs="Times New Roman"/>
          <w:b/>
          <w:sz w:val="28"/>
          <w:szCs w:val="28"/>
          <w:lang w:val="en-US"/>
        </w:rPr>
        <w:t>.</w:t>
      </w:r>
    </w:p>
    <w:p w:rsidR="004379E3" w:rsidRPr="0068182D" w:rsidRDefault="004379E3" w:rsidP="000537F4">
      <w:pPr>
        <w:pStyle w:val="a4"/>
        <w:numPr>
          <w:ilvl w:val="0"/>
          <w:numId w:val="29"/>
        </w:numPr>
        <w:shd w:val="clear" w:color="auto" w:fill="FFFFFF"/>
        <w:tabs>
          <w:tab w:val="left" w:pos="851"/>
        </w:tabs>
        <w:spacing w:after="0" w:line="240" w:lineRule="auto"/>
        <w:ind w:left="0" w:firstLine="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Turkmenistan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at the current stage</w:t>
      </w:r>
      <w:r w:rsidRPr="0068182D">
        <w:rPr>
          <w:rFonts w:ascii="Times New Roman" w:hAnsi="Times New Roman" w:cs="Times New Roman"/>
          <w:b/>
          <w:sz w:val="28"/>
          <w:szCs w:val="28"/>
          <w:lang w:val="en-US"/>
        </w:rPr>
        <w:t>.</w:t>
      </w:r>
    </w:p>
    <w:p w:rsidR="004379E3" w:rsidRPr="0068182D" w:rsidRDefault="004379E3" w:rsidP="000537F4">
      <w:pPr>
        <w:pStyle w:val="a4"/>
        <w:numPr>
          <w:ilvl w:val="0"/>
          <w:numId w:val="29"/>
        </w:numPr>
        <w:shd w:val="clear" w:color="auto" w:fill="FFFFFF"/>
        <w:tabs>
          <w:tab w:val="left" w:pos="851"/>
        </w:tabs>
        <w:spacing w:after="0" w:line="240" w:lineRule="auto"/>
        <w:ind w:left="0" w:firstLine="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Specifics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taxation in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Central Asian republics</w:t>
      </w:r>
      <w:r w:rsidRPr="0068182D">
        <w:rPr>
          <w:rFonts w:ascii="Times New Roman" w:hAnsi="Times New Roman" w:cs="Times New Roman"/>
          <w:b/>
          <w:sz w:val="28"/>
          <w:szCs w:val="28"/>
          <w:lang w:val="en-US"/>
        </w:rPr>
        <w:t>.</w:t>
      </w:r>
    </w:p>
    <w:p w:rsidR="004379E3" w:rsidRPr="0068182D" w:rsidRDefault="004379E3" w:rsidP="000537F4">
      <w:pPr>
        <w:pStyle w:val="a4"/>
        <w:numPr>
          <w:ilvl w:val="0"/>
          <w:numId w:val="29"/>
        </w:numPr>
        <w:shd w:val="clear" w:color="auto" w:fill="FFFFFF"/>
        <w:tabs>
          <w:tab w:val="left" w:pos="851"/>
        </w:tabs>
        <w:spacing w:after="0" w:line="240" w:lineRule="auto"/>
        <w:ind w:left="0" w:firstLine="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composition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income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expenditures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state 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Uzbekistan.</w:t>
      </w:r>
    </w:p>
    <w:p w:rsidR="004379E3" w:rsidRPr="0068182D" w:rsidRDefault="004379E3" w:rsidP="000537F4">
      <w:pPr>
        <w:pStyle w:val="a4"/>
        <w:numPr>
          <w:ilvl w:val="0"/>
          <w:numId w:val="29"/>
        </w:numPr>
        <w:shd w:val="clear" w:color="auto" w:fill="FFFFFF"/>
        <w:tabs>
          <w:tab w:val="left" w:pos="851"/>
        </w:tabs>
        <w:spacing w:after="0" w:line="240" w:lineRule="auto"/>
        <w:ind w:left="0" w:firstLine="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Features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budgetary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Kyrgyzstan.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state 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its structure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Turkmenistan.</w:t>
      </w:r>
    </w:p>
    <w:p w:rsidR="004379E3" w:rsidRPr="0068182D" w:rsidRDefault="004379E3" w:rsidP="000537F4">
      <w:pPr>
        <w:pStyle w:val="a4"/>
        <w:numPr>
          <w:ilvl w:val="0"/>
          <w:numId w:val="29"/>
        </w:numPr>
        <w:shd w:val="clear" w:color="auto" w:fill="FFFFFF"/>
        <w:tabs>
          <w:tab w:val="left" w:pos="851"/>
        </w:tabs>
        <w:spacing w:after="0" w:line="240" w:lineRule="auto"/>
        <w:ind w:left="0" w:firstLine="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problems of economic</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integration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Central Asian republics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 Kazakhstan</w:t>
      </w:r>
      <w:r w:rsidRPr="0068182D">
        <w:rPr>
          <w:rFonts w:ascii="Times New Roman" w:hAnsi="Times New Roman" w:cs="Times New Roman"/>
          <w:b/>
          <w:sz w:val="28"/>
          <w:szCs w:val="28"/>
          <w:lang w:val="en-US"/>
        </w:rPr>
        <w:t>.</w:t>
      </w: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p>
    <w:p w:rsidR="004379E3" w:rsidRPr="0068182D" w:rsidRDefault="004379E3" w:rsidP="000537F4">
      <w:pPr>
        <w:pStyle w:val="a4"/>
        <w:numPr>
          <w:ilvl w:val="0"/>
          <w:numId w:val="31"/>
        </w:numPr>
        <w:shd w:val="clear" w:color="auto" w:fill="FFFFFF"/>
        <w:tabs>
          <w:tab w:val="left" w:pos="851"/>
        </w:tabs>
        <w:spacing w:after="0" w:line="240" w:lineRule="auto"/>
        <w:jc w:val="both"/>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Description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Uzbekistan</w:t>
      </w: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Uzbekistan’s Financial System since Independence </w:t>
      </w: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1.1 The Banking Sector</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After Independence in 1991, departments of the Soviet banks located in Uzbekistan became the independent banks of the Republic of Uzbekistan. A law of the Republic “On Banks and Banking Activity” was adopted in February 1991, establishing the new structure of the banking system. This structure envisaged the creation a two-tier banking system, with the Central Bank of Uzbekistan formed from the Uzbekistan’s department of Gosbank, as well as commercial banks based on various non-state forms of property (i.e. private, corporate, cooperative, etc.). According to the Law, the Central Bank became subordinate to the Oliy Majlis (the Parliament of Uzbekistan), and main task and responsibilities were set to conduct monetary policy and bank supervision, and also to provide the country with its own payments system.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Uzbekistan’s department of Vneshtorgbank became the National Bank for Foreign Economic Activity of Uzbekistan (NBU). Other new banks emerged from former Uzbekistan branches of Soviet banks. The branch of Sberbank became Narodnybank (the national savings bank); and the branch of the Soviet Promstroybank (industrial and construction bank) became Promstroybank of Uzbekistan.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legislation formed to regulate the banking system emphasised administrative measures of regulation. This was due to both of the background from which policy makers and legislators had emerged, and the unsophisticated state of the financial system at the time.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 economy and financial system developed, new two Laws were drafted to replace the outdated law. The law “On the Central Bank of the Republic of Uzbekistan” has been adopted as of 21st of December, 1995 and the new Law “On Banks and Banking Activity” was adopted on 25th of April, 1996.</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1.1.1 The Central Bank and its policies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main aim of the Central Bank, according to the new Law, has been set “…to ensure the stability of the national currency” (The Republic of Uzbekistan, 1995). The Central Bank has been forbidden to engage in commercial investing, and subsidizing particular banks or other organizations independently from their ownership. The Law “On the Central Bank” has also defined its status of independent from the state budget institution.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1997, foreign assets earlier held by the Ministry of Finance at the National Bank of Uzbekistan were transferred to the Central Bank. However, the NBU continues to be the depository of a large (though decreasing) proportion of official gold reserves on behalf of the Central Bank. Money and credit policies, as well as foreign exchange allocation, are determined by the Chairman of the Central Bank, with the involvement of representatives of various government agencies and the banking sector.</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Monetary policy of the Central Bank. The monetary policy of the Central Bank in early independence years was largely influenced by the fact that Uzbekistan remained in Russian ruble zone until the end of 1993. Consequently, it had limited arsenal of tools and methods of monetary regulation. Nevertheless, since independence, monetary policy has become increasingly important as an instrument of economic regulation.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As mentioned earlier, in Soviet times, cash and credit plans were important ‘ingredients’ of overall plan and were aligned according to production plans. Since independence, there have been regular attempts to get rid of such planning. However, progress has been rather slow, and authorities have continued to intervene with the Central Bank’s responsibilities, rationing credit and manipulating money demand (Centre of Economic Research, 1997). The achievement of annual macroeconomic objectives on inflation and real GDP growth has been attempted through direct credit restriction by the Central Bank. Refinancing by the Central Bank has remained a more important instrument than reserve requirements and interest rate policy. The interest rate policy of the Central Bank differed significantly before introduction of the permanent national currency (in July, 1994) and after its introduction. Initially it behaved in very much the same manner as Gosbank of the ex-USSR. Since introduction of the national currency, refinancing policy has changed. It became more oriented towards the achievement and maintenance of macroeconomic stability and the support of banking sector liquidity.</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mid-1994, the refinancing rate has increased to 150% per year, and in March 1995, it increased further to 300%. It thus became positive in real terms. Since 1995, all refinancing credits have been granted via the interbank auctions. The refinancing rate has been revised on regular basis to reflect inflation rate expectations. In 2001 the rate was cut to 24% but the inflation rate has remained at the level higher than 25%. In 2002, the interest rate has been increased to 30%, a level above inflation rate.</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1992 the Central bank of Uzbekistan (CBU) started to use reserve requirements for the commercial banks as an instrument of monetary policy to regulate the money supply. Reserve requirements have been applied to the national currency bank deposits only. However, although the Central Bank has a legal right to pay interest on the reserve deposits, it has chosen not to do so. This was negatively reflected in profitability of banks.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At present, CBU continues to use the reserve requirement instrument. However, the initial rate of 30% for the loans with maturity up to 3 years has been cut steadily to 20% for local currency deposits. The liquidity impact of the measure was neutralised with the auctioning of Treasury bills yielding interest 1.5-2 percentage points higher than the rates ordinarily paid in Treasury bill auctions. This step resulted in an improvement in the income position of banks, since required reserves are not remunerated.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Open market operations were never really used by the Central Bank of Uzbekistan since magnitude of securities issued by the Central Bank was very small and access to these securities was restricted. Even when issued, the Central Bank securities earned negative interest rates in real terms that made them less than attractive to the limited number of players.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common with other economies with the negative real interest rates and low confidence in banks (which in Uzbekistan was induced by the freezing of bank deposits during currency conversion in 1993-1994), Uzbekistan has been experiencing significant problems attracting deposits from the public. Individuals preferred to hold cash for short-term transactions and foreign currencies (primary US dollar) as long-term investments.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interbank money market was established by the authorities in early 1996 as part of the Central Bank’s development of the instruments of monetary policy. The interbank money market quickly became an important source for a number of banks to solve their short-term liquidity problems. This made commercial banks more interdependent, which had a risk of contagion effect in case of failure of some individual bank.</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interbank market has not fully regulated the funds surpluses and deficits among commercial banks of Uzbekistan. The Narodny (savings) bank has been the only bank consistently generating cheap funds to offer to the market, reflecting its dominant position in attracting savings from the public. Almost half of funds on offer in interbank market have originated from the Narodny bank. The Central Bank effectively controls all transactions and the terms of interbank loans.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Payments system In July 1996, a complete electronic payment clearing system was introduced by the Central Bank, covering whole Uzbekistan. Before this, very slow and unreliable payment clearances occurred, particular in provincial areas. All national currency transactions are made using the clearing accounts of the CBU. The network of branches of the Central Bank cover all regions. Until 2003, regional branches of all banks had to have separate accounts with the CBU. Since 2003, one clearing account (with the CBU) has been introduced.</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Accounting standards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November 1996, the Board of the CBU adopted a new charter of accounts for the CBU and the commercial banks. The new accounting system was introduced in March 1997 and has improved the quality of monetary statistics. However, commercial banks have experienced difficulties in using the new system. In addition, risk assessment, and the corresponding classification of loans in commercial banks’ balance sheets, remain impaired by the fact that enterprises typically do not perform bookkeeping in accordance with internationally accepted accounting standards, and banks are inexperienced in risk assessment and risk management (IMF, 1998). Moreover, off-balance sheet reports require further enhancement, as they do not provide a comprehensive coverage of trade finance operations, operations with derivatives, and other contingent liabilities.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To encourage commercial banks to undertake an audit under international accounting standards and involving internationally recognised auditors, the CBU decided to pay for international audits of all Uzbek banks for the financial year 1996. Since then, an increasing number of commercial banks have started to use the services of international auditors. The Central Bank itself has not undertaken external audits up to the financial year 2002, when the Deloitte and Touche won a tender to do its first audit.</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Regulation and supervision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Regulation and supervision are important functions of central banks. The Central Bank of Uzbekistan made an first important step in this direction in 1992, by issuing the instruction “Rules to regulate the activity of commercial banks”. These rules determined the order of formation, planning and use of credit resources, trying to reflect the lack of sufficient skills in commercial banks to manage liquidity and regulate risks. Since that time, however, the rules have bee revised several times.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1997, a regulatory framework was adopted by the Central Bank of Uzbekistan, including procedures for the reorganisation of commercial banks; requirements for the reporting to the Central Bank; procedures for registration, licensing, the liquidation of the banks; and penalties for violating banking regulations.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All commercial banks are required to submit on the monthly basis1 twenty-one financial reports, including a balance sheet, income statement, cash-flow statement and other documents. The final report covers thirteen prudential ratios (3 capital adequacy, 1 liquidity, 3 lending, 3 securities investments and 3 insider operations ratios) that all commercial banks are required to comply with.</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Capital adequacy ratios generally comply with current Basel requirements. However, the usual practice of Uzbek banks is to over-report the value of the capital. This is due to the fact than in many cases the shareholders contribution made in kind (as buildings, inventory, etc.). As there is no liquid market for such goods in Uzbekistan, valuation is somewhat difficult. In most cases, the value of such assets is made at the book value, which is often far different (higher) from marketable value. Latest proposals made by the Basel committee to change the approaches of calculation capital adequacy have not been reflected yet in the Central Bank’s supervision regulations.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general, requirements for the risk assessment of the portfolio are very weak. Banks are not encouraged to make objective risk assessments of the portfolio and, make provision and recognise loan losses on that basis. They prefer to rollover overdue loans instead of reporting them as non-performing, i.e. overstating the quality of banks assets.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spite of a number of drawbacks, accounting standards and comprehensiveness of documents submitted to the CBU’s supervision reports are among the most sophisticated in the former USSR.</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1.1.2 Commercial banking sector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Uzbekistan’s banking sector has played an important role in the implementation of the country’s import substitution policies. A large proportion of the government’s foreign borrowings for the state-led investment programme has been channelled though the six largest state-owned banks.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At October 2003, there were 34 commercial banks in Uzbekistan: two state banks (fully and directly owned by the government), 2 stateowned joint–stock banks, 10 indirectly state-owned (via state-owned companies and organizations) joint-stock commercial banks, 15 private banks, 4 joint-stock banks with foreign participation and 1 subsidiary of foreign bank. 28 banks were licensed to carry out foreign currency transactions, but the bulk of foreign exchange transactions were conducted by the NBU. In addition, there are 8 representative offices of foreign banks registered in Uzbekistan.</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NBU, a state owned bank, is the largest commercial institution in Uzbekistan. At the end of 2001, it accounted for 75 percent of total assets, and 60 percent of total capital of banking system. Moreover, it accounted for nearly 70 percent of total commercial bank loans and about 85 percent of all transactions (including trade finance) in foreign currency. Foreign investment in the banking area not related to the NBU is limited.</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development of commercial banking has been affected in Uzbekistan by direct government intervention in foreign exchange and financial markets. Initially the rule limiting enterprises to hold accounts with one bank was introduced, which seriously undermined competition among banks. Moreover, enterprise deposits were allowed to be withdrawn only for the payment of wages and travel expenses, in accordance with quarterly cash plans. Both rules were abolished at a later stage (in 1998 and 2002 correspondingly) that should improve the competition among banks and increase the trustworthiness of the banking sector. However, cash plans were de-facto not completely abolished as secret “oral” orders of the Central bank officials forced the banks to limit withdrawals by enterprises. The system of cash planning seriously undermines confidence in the commercial banking system and should be dismantled. Banks should be fully delegated the responsibility for their own liquidity management. Two further reasons that induce people to stay away from the banks, and firms to reduce bank account activity to the minimum are the tax-enforcing role of the banks for tax authorities and negative real return on savings (see Figure 1). Banks should only be required to breach customer confidentiality where there is evidence of misconduct (such as required in documenting possible tax evasion or money-laundering activity). Freezing up customer funds (which often happens) should only be a last resort and any frozen funds should be released only in connection with settlement of claims of other creditors.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Without action to bolster confidence in the banking system, there is a risk that dismantling the cash/non-cash restrictions will lead to a significant drain in the liquidity of the banking system, as enterprise managers seek to withdraw non-cash balances from their enterprise bank accounts.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most important commercial banks are controlled by the government and follow the credit policies set by the Republic’s Monetary Policy Commission, which gives priority to sectors in line with agricultural and industrial policies of the government.</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Problems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banking system of Uzbekistan is characterized by a small number of relatively sophisticated banks (the NBU and some joint venture and private banks), along with the successors of the formal sectoral (i.e. predicated on the financing of a particular sector of the economy) banks. This second group of banks is undercapitalised, and has low-quality loan portfolios and limited bank management skills. These problems are aggravated by (i) the absence of adequate legal instruments (bankruptcy procedures, assets sequestering, etc.) to protect the integrity of the banks’ assets, (ii) the way banking activity is taxed, and (iii) restrictions on the wage rates of bank staff (in state-owned banks) imposed by the Central Bank in 1999.</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government taxes banks’ profits and wage bills, but does not allow banks to deduct off-setting provisions from their tax liabilities. Profit tax in Uzbekistan is assessed by the authorities and often bears no relation to actual profit; many enterprises are thus overtaxed, even accounting for the cuts in the rate of profit tax (Economic Intelligence Unit, 2003).</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wage restriction problem particularly affected the relatively advanced stateowned banks with better-qualified personnel, such as the National bank and the Asakabank. A good proportion of qualified staff were forced to leave in the search of better-paid opportunities; either in the private sector, or even in other countries.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2000, the Government of Uzbekistan, under the pressure of international financial institutions, particularly IMF initiated a policy of unification of the multiple exchange rate regime. This lead to a significant depreciation of the national currency (132% in 2000, 112% in 2001 and 34% in 2002). For large banks (particularly NBU) that provided foreign-currency loans this automatically resulted in deterioration of loan portfolio quality as many of their borrowers found themselves in difficulties to re-pay at the new exchange rates. Officials of those banks usually denied the resultant significant portfolio deterioration since a vast majority of those loans are in turn state-guaranteed. In principle, banks do not have to provision against government-guaranteed loans, but debt service arrears could nonetheless cause liquidity problems, particularly since current practice has been to capitalise accrued interest, thereby protecting the balance sheet but hurting operating incomes. Accrued interest in NBU’s balance sheet, for example, grew from USD 79 million in 1999 to USD 133 million in 2001.</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government was typically reluctant to re-pay under the guarantee and pushed their own banks to restructure and rollover such loans. Under the pressure of auditors, some of the banks in Uzbekistan published their auditor’s report according to international accounting standards were forced to reconsider their provisioning policy against government-guaranteed loans in the event of exchange rate unification. Together with growing provisions on classified assets in the remaining non-guaranteed portfolio, this has substantially affected large banks profitability, with a return on equity in NBU 6 percent in 2001 and –20% in 2002. According to NBUs own estimate, non-performing loans (including those under government guarantees) might reach around 15 percent of the total loans, if currency unification is fully implemented.</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Since 1999, domestic banks have begun to build up a portfolio of private sector loans, granted on strictly commercial criteria, benefiting in this respect from the institutional support provided under international financial institutions (IFI) credit lines. However, market-based finance remains largely underdeveloped and banks serve only a limited role in the intermediation of domestic savings. The IFI small and medium business (SME) lines are the most important source of funding for credit to smaller domestic enterprises, although the government recently set up a special budget fund to finance subsidised lending to SMEs (EBRD, 2003a).</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1.2 Non-bank Financial Institutions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formation of specialized NBFIs began in 1995 at the instigation of both the government and the private sector. These institutions included the Business Fund for financing small and medium sized business enterprises, the state insurance companies “Madad” and “Uzbekinvest”, UzAIG (joint venture of AIG and NBU), and a number of private insurance and investment companies. Unfortunately, the information available on this sector is very limited and there is no statistical data at all.</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Since their establishment, the success of insurance companies has been controversial. On the one hand, the range and quality of services has steadily improved, but on the other hand, most of the insurance companies found themselves in financial difficulty at some point. The most ambitious project – a joint venture of the renowned AIG Corporation and National Bank of Uzbekistan (UzAIG) - has been in financial distress for a number of years.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One of crucial difficulties in assessing the activity of non-bank financial institutions is the absence or significant lack in regulations of this sector. There is no requirement to publish their financial statements in the local press (as for example in case of banks). Indeed, the accounting standards of NBFI’s have not yet been reformed and are lacking in accuracy and presentation.</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There were no significant attempts in Uzbekistan to reform the pension system. The single pension fund remains state-run and no private pension institutions have been created.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late-1996, a new type of financial institution was created in Uzbekistan, called the Privatisation Investment Fund (PIF). Under this PIF scheme, it was envisaged to sell 30 percent of the shares of about 300 large enterprises to investment funds in a first implementation phase. It was further expected that in a second phase, shares of 300 more enterprises would be sold. Progress in implementing the scheme has been substantially slower than originally expected, although more than 80 investment funds and management companies have been established, and about 200,000 individuals have bought shares in PIFs. The number of PIFs and volume of their transactions have been steadily decreasing in recent years due to the fact that performance of partially privatised enterprises has been (with very few exceptions) very poor and consequently profitability of the PIF was low or negative. This resulted in sharply reduced interest in the PIF’s activity among the investors.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1.3 Securities Market </w:t>
      </w: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Debt instruments.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securities market is still in the early stage of development in Uzbekistan. Until 1996, the only instruments available for the mobilisation of savings were household saving accounts and term deposits at commercial banks. In March 1996, 3-month Treasury Bills (T-bills) were issued for the first time, and 6-month T-bills started to be issued one year later. The major aim of the issuing of State T-bills for the government was to finance budget deficits out of non-inflationary sources. For the Central Bank, it was an attempt to conduct open market operations to influence market liquidity and market interest rates. These bonds have no coupon and are sold at a discount in auctions held once a month by the Republican Currency Exchange (RCE). As of January 2000, there were 22 dealers (21 bank) authorised to operate in the bond auction as dealers on their own account and on behalf of their clients. A secondary market was created, providing a degree of liquidity for these securities; secondary market auctions are held by the RCE four times a week, and both maturities are traded in the same auction. However, market depth of Tbills is still limited, with only 25 percent of the outstanding stock (or less than 1 percent of GDP) was held by the non-bank public in June 1998 (IMF, 1998). This is primarily due to (i) low yields compared to inflation and the high return on holding foreign currency notes (mainly US dollars) (see Figure 2); (ii) the absence of permission for the banks to sell the bonds to the public outside the auction; and (iii) the non-existence of repurchase agreement operations (repo) between banks and the public, based on the T-bills in banks’ portfolios.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An additional debt instrument available for the public is a certificate of deposit of the banks. They have been in issue since 1995 and are relatively reliable and profitable financial instruments. As it is possible to claim repayment before maturity, they are also relatively liquid instruments too. For commercial banks they represent another method of attracting resources from the public.</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According to the rules set by the Central Bank, two types of deposit certificates are being issued: a one-year term deposit certificate available to legal entities and a three-year term deposit (savings) certificates available to individuals only. Explicit restriction to free circulation of such securities between enterprises and individuals reflects the authorities’ concern with cash and non-cash transactions as well as an attempt to reduce inflation by freezing up cash holdings in the form of deposit certificates.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recent years there has been some activity on the corporate bonds market, as regulatory changes removed restrictions on the size of corporate bond issues. The major impetus to this was given by newly established international syndicate, consisting of 19 local and foreign banks and one NBFI, Carthill Asset Management Company. This syndicate began to develop a secondary corporate bond market in April, 2002 and has thus far organised dozens of bond issues worth more than UZS 6 billion. Recently a couple of larger banks, “UzJilSberBank” and NBU, started to develop similar services for their corporate clients. This is good option for the banks to keep their excess liquidity since most of the issues offer competitive interest rates. However, there are significant constraints in the development of the market. Perhaps the most important impediment is the small number of companies through which bonds would be demanded on the market. Another important constraint is the weak business environment in Uzbekistan in general that does not encourage businesses to expand their activity. Moreover, investor protection concerns have been raised based on the inadequacy of financial disclosure and the absence of an independent and credible credit rating agency.</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 xml:space="preserve">Equity market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From 1994 to 1996, the development of the stock exchange took place alongside the development of the market economy, including the privatisation and demonopolisation process.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Uzbekistan, it was announced that the gradual approach to structural reform would be adopted (Karimov, 1995). In line with it, the pace of privatisation has thus far been rather slow. Privatisation has been taken place in three stages. The first stage concentrated on housing units and small enterprises, mainly in the service sector, and was largely completed by 1995, with 90 percent of small enterprises being privatised. The second stage, which involved the creation of privatisation investment funds, began in late 1996 and is still being implemented. These privately owned funds purchased shares in selected medium- and large - scale enterprises. In turn, the public was able to purchase shares in the funds. The third stage, a case-by-case privatisation of large enterprises, began in 1998 but with limited results.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Today, the market for the shares of privatised enterprises is still small in terms of quantity, variety, and volume of transactions (see Table 3) conducted through the stock exchange. The slow pace of privatisation, as well as approach chosen for privatisation, has negatively influenced activity in equity market of Uzbekistan. Shares have simply been distributed among the companies themselves (in the form of bonuses), to selected foreign investors, outside shareholders, and to the state. Investors, who obtained shares in this way, had neither any real incentive nor any real opportunities to trade these securities. The low interest of potential investors in equities also reflects the absence of reliable information about the issuers of shares and the subsequent high risk of such investments. The situation was worsened by poor legislative support and a lack of knowledge and skills both by market participants themselves and the population of the country in general.</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the first case the situation was such, that until late 1996 the only two laws existed, which were “On Securities and Stock Market” and “On Economic Societies”. The regulations issued by the various regulatory bodies often contain obscure and even contradictory passages that complicated the functioning of the market. More recent legislation (the laws “On the Mechanism of Security Market Functioning” and “On Joint Stock Societies and Protection of Shareholders’ Rights”) has somewhat improved the situation, but not entirely. The most urgent improvements needed are definition as to the regulation of some types of professional participants’ activity, as well as removal of contradictions present in legal and regulatory documents. As at 1st May, 2000 the regulatory documents can be summarised as follows: 9 Laws, 11 Presidential Decrees, and 31 Orders of Resolutions of the Cabinet of Ministers of the Republic of Uzbekistan are in place.</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Republic’s Stock Exchange “Tashkent” (RSET) – the only stock exchange in Uzbekistan – was established in January 1994. Since its establishment, activity has been mainly connected with servicing new issues of securities as part of the privatisation process. The volume of transactions on secondary market has been increasing, but the pace was rather slow. This was caused by a number of factors: (i) absence of reliable assessment of companies’ performances whose securities are traded; (ii) low trust and knowledge of potential shareholders in stock market; (iii) failure by most joint-stock companies to pay reasonable dividends; and (iv) investors who own securities of well-performing companies prefer to hold securities rather than trade them. Since 2000, RSET started to calculate share index called “Tasix”.</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There are currently 794 former state-owned enterprises whose shares are traded on the C-list of the RSET, the list designated for privatised enterprises that meet certain requirements2 , although all former state-owned enterprises are eligible for trading on the exchange and over-the-counter (OTC) market (Asian Development Bank, 2003).</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Based on high listing standards3 , only six companies, four of which are banks, are listed on the A-list of the RSET. Although B-list requirements are lower, no companies have qualified for it (Asian Development Bank, 2003). Less than 1% of secondary trading in listed shares takes place on a formal OTC market “Elsis Savdo”, which is controlled by the National Bank of Uzbekistan. Most secondary trading of listed shares (about 81%) takes place on an unregulated informal secondary OTC “curb market”4 . Transaction costs on the RSET are high (3.7%- 5.7%) but have come down due to competition from the curb market. Significant decisions taken by RSET are subject to Centre for Coordination of Functioning of Securities Market oversight. Most securities participants are affiliated with the banking sector.</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Depositary - basic element of securities market infrastructure – was been established in 1994. It is currently the only registration and depositary system available in Uzbekistan. Its main functions are to provide share registration, the dematerialised deposit of shares and transfer of ownership (settlement of securities) for transactions concluded through the Tashkent Stock Exchange.</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Around 30 information analytical, consulting, rating, evaluating, and auditing organisations, more than 650 investment funds, management and investment companies, brokerage and dealer’s firms currently comprise other elements of the market infrastructure in Uzbekistan.</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0537F4">
      <w:pPr>
        <w:pStyle w:val="a4"/>
        <w:numPr>
          <w:ilvl w:val="0"/>
          <w:numId w:val="31"/>
        </w:numPr>
        <w:shd w:val="clear" w:color="auto" w:fill="FFFFFF"/>
        <w:tabs>
          <w:tab w:val="left" w:pos="851"/>
        </w:tabs>
        <w:spacing w:after="0" w:line="240" w:lineRule="auto"/>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composition of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Kyrgyzstan</w:t>
      </w:r>
      <w:r w:rsidRPr="0068182D">
        <w:rPr>
          <w:rFonts w:ascii="Times New Roman" w:hAnsi="Times New Roman" w:cs="Times New Roman"/>
          <w:b/>
          <w:sz w:val="28"/>
          <w:szCs w:val="28"/>
          <w:lang w:val="en-US"/>
        </w:rPr>
        <w:t>.</w:t>
      </w:r>
    </w:p>
    <w:p w:rsidR="004379E3" w:rsidRPr="0068182D" w:rsidRDefault="004379E3" w:rsidP="00C40532">
      <w:pPr>
        <w:pBdr>
          <w:bottom w:val="single" w:sz="6" w:space="0" w:color="AAAAAA"/>
        </w:pBdr>
        <w:spacing w:after="0" w:line="240" w:lineRule="auto"/>
        <w:ind w:firstLine="567"/>
        <w:outlineLvl w:val="0"/>
        <w:rPr>
          <w:rFonts w:ascii="Times New Roman" w:hAnsi="Times New Roman" w:cs="Times New Roman"/>
          <w:b/>
          <w:color w:val="000000"/>
          <w:kern w:val="36"/>
          <w:sz w:val="28"/>
          <w:szCs w:val="28"/>
          <w:lang w:val="en-US"/>
        </w:rPr>
      </w:pPr>
      <w:r w:rsidRPr="0068182D">
        <w:rPr>
          <w:rFonts w:ascii="Times New Roman" w:hAnsi="Times New Roman" w:cs="Times New Roman"/>
          <w:b/>
          <w:color w:val="000000"/>
          <w:kern w:val="36"/>
          <w:sz w:val="28"/>
          <w:szCs w:val="28"/>
          <w:lang w:val="en-US"/>
        </w:rPr>
        <w:t>Banking in Kyrgyzstan</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In mid-1995, the</w:t>
      </w:r>
      <w:r w:rsidRPr="0068182D">
        <w:rPr>
          <w:rStyle w:val="apple-converted-space"/>
          <w:sz w:val="28"/>
          <w:szCs w:val="28"/>
          <w:lang w:val="en-US"/>
        </w:rPr>
        <w:t> </w:t>
      </w:r>
      <w:r w:rsidRPr="0068182D">
        <w:rPr>
          <w:bCs/>
          <w:sz w:val="28"/>
          <w:szCs w:val="28"/>
          <w:lang w:val="en-US"/>
        </w:rPr>
        <w:t>banking system in</w:t>
      </w:r>
      <w:r w:rsidRPr="0068182D">
        <w:rPr>
          <w:rStyle w:val="apple-converted-space"/>
          <w:bCs/>
          <w:sz w:val="28"/>
          <w:szCs w:val="28"/>
          <w:lang w:val="en-US"/>
        </w:rPr>
        <w:t> </w:t>
      </w:r>
      <w:hyperlink r:id="rId652" w:tooltip="Kyrgyzstan" w:history="1">
        <w:r w:rsidRPr="0068182D">
          <w:rPr>
            <w:rStyle w:val="a5"/>
            <w:bCs/>
            <w:color w:val="auto"/>
            <w:sz w:val="28"/>
            <w:szCs w:val="28"/>
            <w:u w:val="none"/>
            <w:lang w:val="en-US"/>
          </w:rPr>
          <w:t>Kyrgyzstan</w:t>
        </w:r>
      </w:hyperlink>
      <w:r w:rsidRPr="0068182D">
        <w:rPr>
          <w:rStyle w:val="apple-converted-space"/>
          <w:sz w:val="28"/>
          <w:szCs w:val="28"/>
          <w:lang w:val="en-US"/>
        </w:rPr>
        <w:t> </w:t>
      </w:r>
      <w:r w:rsidRPr="0068182D">
        <w:rPr>
          <w:sz w:val="28"/>
          <w:szCs w:val="28"/>
          <w:lang w:val="en-US"/>
        </w:rPr>
        <w:t>continued to be dominated by the central savings bank (the</w:t>
      </w:r>
      <w:r w:rsidRPr="0068182D">
        <w:rPr>
          <w:rStyle w:val="apple-converted-space"/>
          <w:sz w:val="28"/>
          <w:szCs w:val="28"/>
          <w:lang w:val="en-US"/>
        </w:rPr>
        <w:t> </w:t>
      </w:r>
      <w:hyperlink r:id="rId653" w:tooltip="National Bank of Kyrgyzstan" w:history="1">
        <w:r w:rsidRPr="0068182D">
          <w:rPr>
            <w:rStyle w:val="a5"/>
            <w:color w:val="auto"/>
            <w:sz w:val="28"/>
            <w:szCs w:val="28"/>
            <w:u w:val="none"/>
            <w:lang w:val="en-US"/>
          </w:rPr>
          <w:t>National Bank of Kyrgyzstan</w:t>
        </w:r>
      </w:hyperlink>
      <w:r w:rsidRPr="0068182D">
        <w:rPr>
          <w:sz w:val="28"/>
          <w:szCs w:val="28"/>
          <w:lang w:val="en-US"/>
        </w:rPr>
        <w:t>, created in 1991) and by the three major commercial banks that succeeded the sectoral banks of the Soviet era and remained under state control. Those banks, the Agricultural and Industrial Bank (</w:t>
      </w:r>
      <w:hyperlink r:id="rId654" w:tooltip="Agroprombank (page does not exist)" w:history="1">
        <w:r w:rsidRPr="0068182D">
          <w:rPr>
            <w:rStyle w:val="a5"/>
            <w:color w:val="auto"/>
            <w:sz w:val="28"/>
            <w:szCs w:val="28"/>
            <w:u w:val="none"/>
            <w:lang w:val="en-US"/>
          </w:rPr>
          <w:t>Agroprombank</w:t>
        </w:r>
      </w:hyperlink>
      <w:r w:rsidRPr="0068182D">
        <w:rPr>
          <w:sz w:val="28"/>
          <w:szCs w:val="28"/>
          <w:lang w:val="en-US"/>
        </w:rPr>
        <w:t>), the Industrial and Construction Bank (</w:t>
      </w:r>
      <w:hyperlink r:id="rId655" w:tooltip="Promstroybank (page does not exist)" w:history="1">
        <w:r w:rsidRPr="0068182D">
          <w:rPr>
            <w:rStyle w:val="a5"/>
            <w:color w:val="auto"/>
            <w:sz w:val="28"/>
            <w:szCs w:val="28"/>
            <w:u w:val="none"/>
            <w:lang w:val="en-US"/>
          </w:rPr>
          <w:t>Promstroybank</w:t>
        </w:r>
      </w:hyperlink>
      <w:r w:rsidRPr="0068182D">
        <w:rPr>
          <w:sz w:val="28"/>
          <w:szCs w:val="28"/>
          <w:lang w:val="en-US"/>
        </w:rPr>
        <w:t>), and the</w:t>
      </w:r>
      <w:r w:rsidRPr="0068182D">
        <w:rPr>
          <w:rStyle w:val="apple-converted-space"/>
          <w:sz w:val="28"/>
          <w:szCs w:val="28"/>
          <w:lang w:val="en-US"/>
        </w:rPr>
        <w:t> </w:t>
      </w:r>
      <w:hyperlink r:id="rId656" w:tooltip="Commercial Bank of Kyrgyzstan (page does not exist)" w:history="1">
        <w:r w:rsidRPr="0068182D">
          <w:rPr>
            <w:rStyle w:val="a5"/>
            <w:color w:val="auto"/>
            <w:sz w:val="28"/>
            <w:szCs w:val="28"/>
            <w:u w:val="none"/>
            <w:lang w:val="en-US"/>
          </w:rPr>
          <w:t>Commercial Bank of Kyrgyzstan</w:t>
        </w:r>
      </w:hyperlink>
      <w:r w:rsidRPr="0068182D">
        <w:rPr>
          <w:sz w:val="28"/>
          <w:szCs w:val="28"/>
          <w:lang w:val="en-US"/>
        </w:rPr>
        <w:t>, owned 85 percent of banking assets in 1994.</w:t>
      </w:r>
    </w:p>
    <w:p w:rsidR="004379E3" w:rsidRPr="00784BCE" w:rsidRDefault="004379E3" w:rsidP="00C40532">
      <w:pPr>
        <w:pStyle w:val="a6"/>
        <w:shd w:val="clear" w:color="auto" w:fill="FFFFFF"/>
        <w:spacing w:before="0" w:beforeAutospacing="0" w:after="0" w:afterAutospacing="0"/>
        <w:ind w:firstLine="567"/>
        <w:jc w:val="both"/>
        <w:rPr>
          <w:sz w:val="28"/>
          <w:szCs w:val="28"/>
          <w:lang w:val="en-US"/>
        </w:rPr>
      </w:pPr>
      <w:r w:rsidRPr="00784BCE">
        <w:rPr>
          <w:sz w:val="28"/>
          <w:szCs w:val="28"/>
          <w:lang w:val="en-US"/>
        </w:rPr>
        <w:t>New commercial banks, of which fifteen were established in 1993 and 1994, were owned by individuals or enterprises and had much less financial power than the state-owned banks. The new commercial banks have the right to buy and sell foreign currency and open deposit accounts. The National Bank is the official center of</w:t>
      </w:r>
      <w:r w:rsidRPr="00784BCE">
        <w:rPr>
          <w:rStyle w:val="apple-converted-space"/>
          <w:sz w:val="28"/>
          <w:szCs w:val="28"/>
          <w:lang w:val="en-US"/>
        </w:rPr>
        <w:t> </w:t>
      </w:r>
      <w:hyperlink r:id="rId657" w:tooltip="Currency" w:history="1">
        <w:r w:rsidRPr="00784BCE">
          <w:rPr>
            <w:rStyle w:val="a5"/>
            <w:color w:val="auto"/>
            <w:sz w:val="28"/>
            <w:szCs w:val="28"/>
            <w:lang w:val="en-US"/>
          </w:rPr>
          <w:t>currency</w:t>
        </w:r>
      </w:hyperlink>
      <w:r w:rsidRPr="00784BCE">
        <w:rPr>
          <w:rStyle w:val="apple-converted-space"/>
          <w:sz w:val="28"/>
          <w:szCs w:val="28"/>
          <w:lang w:val="en-US"/>
        </w:rPr>
        <w:t> </w:t>
      </w:r>
      <w:r w:rsidRPr="00784BCE">
        <w:rPr>
          <w:sz w:val="28"/>
          <w:szCs w:val="28"/>
          <w:lang w:val="en-US"/>
        </w:rPr>
        <w:t>exchange, but in the mid-1990s it did not adhere to official exchange rates. In mid-1994, the government established the Bank for Reconstruction and Development, which uses state funds, foreign currency assets, and loans from abroad to aid small and medium-sized enterprises and to invest in targeted spheres of the economy, especially</w:t>
      </w:r>
      <w:r w:rsidRPr="00784BCE">
        <w:rPr>
          <w:rStyle w:val="apple-converted-space"/>
          <w:sz w:val="28"/>
          <w:szCs w:val="28"/>
          <w:lang w:val="en-US"/>
        </w:rPr>
        <w:t> </w:t>
      </w:r>
      <w:hyperlink r:id="rId658" w:tooltip="House" w:history="1">
        <w:r w:rsidRPr="00784BCE">
          <w:rPr>
            <w:rStyle w:val="a5"/>
            <w:color w:val="auto"/>
            <w:sz w:val="28"/>
            <w:szCs w:val="28"/>
            <w:lang w:val="en-US"/>
          </w:rPr>
          <w:t>housing</w:t>
        </w:r>
      </w:hyperlink>
      <w:r w:rsidRPr="00784BCE">
        <w:rPr>
          <w:sz w:val="28"/>
          <w:szCs w:val="28"/>
          <w:lang w:val="en-US"/>
        </w:rPr>
        <w:t xml:space="preserve">, construction, power generation, and agriculture. </w:t>
      </w:r>
    </w:p>
    <w:p w:rsidR="004379E3" w:rsidRPr="00784BCE" w:rsidRDefault="004379E3" w:rsidP="00C40532">
      <w:pPr>
        <w:pStyle w:val="a6"/>
        <w:shd w:val="clear" w:color="auto" w:fill="FFFFFF"/>
        <w:spacing w:before="0" w:beforeAutospacing="0" w:after="0" w:afterAutospacing="0"/>
        <w:ind w:firstLine="567"/>
        <w:jc w:val="both"/>
        <w:rPr>
          <w:sz w:val="28"/>
          <w:szCs w:val="28"/>
          <w:lang w:val="en-US"/>
        </w:rPr>
      </w:pPr>
      <w:r w:rsidRPr="00784BCE">
        <w:rPr>
          <w:sz w:val="28"/>
          <w:szCs w:val="28"/>
          <w:lang w:val="en-US"/>
        </w:rPr>
        <w:t>The banking system has remained concentrated in the same areas as in the Soviet period. Although some diversification has occurred, loans tend to go to traditional clients. Because new commercial banks are small and initially were owned by state ministries and state-owned enterprises, competition has developed slowly. Through 1994 Soviet-style accounting and reporting systems remained in use, and banking services such as domestic and international payments have remained at the same noncompetitive level as they were prior to 1991.</w:t>
      </w:r>
      <w:r w:rsidRPr="00784BCE">
        <w:rPr>
          <w:rStyle w:val="apple-converted-space"/>
          <w:sz w:val="28"/>
          <w:szCs w:val="28"/>
          <w:lang w:val="en-US"/>
        </w:rPr>
        <w:t> </w:t>
      </w:r>
      <w:r w:rsidRPr="00784BCE">
        <w:rPr>
          <w:sz w:val="28"/>
          <w:szCs w:val="28"/>
          <w:lang w:val="en-US"/>
        </w:rPr>
        <w:t xml:space="preserve">Capabilities vital to a market-type economy, such as credit risk assessment and project appraisal, are lacking. Post-Soviet regulations on capital funds, exposure limits, and lending practices have not been enforced. The technical infrastructure of the banks also requires substantial overhaul. In addition, the National Bank has been plagued by scandal; the first director, an Akayev protégé, was linked to several illegal financial operations in 1993 and 1994. </w:t>
      </w:r>
    </w:p>
    <w:p w:rsidR="004379E3" w:rsidRPr="00784BCE" w:rsidRDefault="004379E3" w:rsidP="00C40532">
      <w:pPr>
        <w:pStyle w:val="a6"/>
        <w:shd w:val="clear" w:color="auto" w:fill="FFFFFF"/>
        <w:spacing w:before="0" w:beforeAutospacing="0" w:after="0" w:afterAutospacing="0"/>
        <w:ind w:firstLine="567"/>
        <w:jc w:val="both"/>
        <w:rPr>
          <w:sz w:val="28"/>
          <w:szCs w:val="28"/>
          <w:lang w:val="en-US"/>
        </w:rPr>
      </w:pPr>
      <w:r w:rsidRPr="00784BCE">
        <w:rPr>
          <w:sz w:val="28"/>
          <w:szCs w:val="28"/>
          <w:lang w:val="en-US"/>
        </w:rPr>
        <w:t>The limitations of the banking system have made it unable to efficiently mobilize and allocate financial resources into the national economy. This failure has hindered privatization and other types of economic reform that require substantial amounts of risk capital upon which borrowers can rely. Especially critical are the bad loans held by the three state-owned banks (influenced by government interference in loan decisions, together with poor financial discipline on the part of major enterprises) and eroded capital base. In 1995 the National Bank's outstanding loans to agricultural and industrial enterprises totaled 1 billion som each.</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Structure of the Financial Sector</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Institutional structure of the financial sector in Kyrgyzstan is represented by commercial banks and other financial companies (non-bank financial institutions, insurance companies, investment and pension funds, stock exchanges).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6120765" cy="3366295"/>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9" cstate="print"/>
                    <a:srcRect/>
                    <a:stretch>
                      <a:fillRect/>
                    </a:stretch>
                  </pic:blipFill>
                  <pic:spPr bwMode="auto">
                    <a:xfrm>
                      <a:off x="0" y="0"/>
                      <a:ext cx="6120765" cy="3366295"/>
                    </a:xfrm>
                    <a:prstGeom prst="rect">
                      <a:avLst/>
                    </a:prstGeom>
                    <a:noFill/>
                    <a:ln w="9525">
                      <a:noFill/>
                      <a:miter lim="800000"/>
                      <a:headEnd/>
                      <a:tailEnd/>
                    </a:ln>
                  </pic:spPr>
                </pic:pic>
              </a:graphicData>
            </a:graphic>
          </wp:inline>
        </w:drawing>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rPr>
      </w:pP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As of the end of the first half of 2015, assets of the financial sector constituted KGS 178.8 billion or 46.8 percent to GDP, an increase was KGS 28.8 billion compared to the same period of 2014.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banking sector’s share in the total in the total assets of the financial sector constituted 87.4 percent. The share of NBFI and other financial companies accounted for 10.6 percent and 2.0 percent, respectively (Chart 1.2.1).</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6043295" cy="2961640"/>
            <wp:effectExtent l="19050" t="0" r="0" b="0"/>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0" cstate="print"/>
                    <a:srcRect/>
                    <a:stretch>
                      <a:fillRect/>
                    </a:stretch>
                  </pic:blipFill>
                  <pic:spPr bwMode="auto">
                    <a:xfrm>
                      <a:off x="0" y="0"/>
                      <a:ext cx="6043295" cy="2961640"/>
                    </a:xfrm>
                    <a:prstGeom prst="rect">
                      <a:avLst/>
                    </a:prstGeom>
                    <a:noFill/>
                    <a:ln w="9525">
                      <a:noFill/>
                      <a:miter lim="800000"/>
                      <a:headEnd/>
                      <a:tailEnd/>
                    </a:ln>
                  </pic:spPr>
                </pic:pic>
              </a:graphicData>
            </a:graphic>
          </wp:inline>
        </w:drawing>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rPr>
      </w:pP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total loan portfolio of banks and NBFIs in the first half of 2015 increased by 18.3 percent compared to the same period of 2014 and amounted to KGS 103.4 billion or 27.1 percent to GDP. The share of bank loans in the loan portfolio of the financial sector increased by 9.3 p.p. and as of the end of the first half of 2015 constituted 85.8 percent (Chart 1.2.2).</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6023228" cy="3279913"/>
            <wp:effectExtent l="19050" t="0" r="0"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1" cstate="print"/>
                    <a:srcRect/>
                    <a:stretch>
                      <a:fillRect/>
                    </a:stretch>
                  </pic:blipFill>
                  <pic:spPr bwMode="auto">
                    <a:xfrm>
                      <a:off x="0" y="0"/>
                      <a:ext cx="6023228" cy="3279913"/>
                    </a:xfrm>
                    <a:prstGeom prst="rect">
                      <a:avLst/>
                    </a:prstGeom>
                    <a:noFill/>
                    <a:ln w="9525">
                      <a:noFill/>
                      <a:miter lim="800000"/>
                      <a:headEnd/>
                      <a:tailEnd/>
                    </a:ln>
                  </pic:spPr>
                </pic:pic>
              </a:graphicData>
            </a:graphic>
          </wp:inline>
        </w:drawing>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rPr>
      </w:pP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concentration was still observed in the trading industry (banks) and agriculture (NBFI) within the sectoral structure of the loan portfolio of the financial sector. The aggregate share of the loan portfolio of the financial sector in the above-noted sectors of the economy at the end of the first half of 2015 constituted 55.1 percent of total issued loans or KGS 57.0 billion.</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Status of the Financial Markets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the reviewed period, the situation in the domestic foreign exchange market was still characterized by increased pressure on the exchange rate. The national currency devaluated in nominal terms against deterioration of the geopolitical situation in the region, namely conti-nuation of the embargo between Russia and Western countries.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NBKR still carried out foreign exchange market interventions on sale and purchase of foreign currency in order to smooth out sharp fluctuation of the exchange rate.</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market of interbank borrowings was characterized by increase in the activity of its participants with simultaneous increase of an average weighted interest rate on repo operations.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rates in the market of the state treasury bills and bonds demonstrated upward trend.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Status of the Currency and Money Market</w:t>
      </w:r>
    </w:p>
    <w:p w:rsidR="004379E3" w:rsidRPr="0068182D" w:rsidRDefault="004379E3" w:rsidP="00C40532">
      <w:pPr>
        <w:shd w:val="clear" w:color="auto" w:fill="FFFFFF"/>
        <w:spacing w:after="0" w:line="240" w:lineRule="auto"/>
        <w:ind w:firstLine="567"/>
        <w:jc w:val="both"/>
        <w:rPr>
          <w:rFonts w:ascii="Times New Roman" w:hAnsi="Times New Roman" w:cs="Times New Roman"/>
          <w:b/>
          <w:i/>
          <w:sz w:val="28"/>
          <w:szCs w:val="28"/>
          <w:lang w:val="en-US"/>
        </w:rPr>
      </w:pPr>
      <w:r w:rsidRPr="0068182D">
        <w:rPr>
          <w:rFonts w:ascii="Times New Roman" w:hAnsi="Times New Roman" w:cs="Times New Roman"/>
          <w:b/>
          <w:i/>
          <w:sz w:val="28"/>
          <w:szCs w:val="28"/>
          <w:lang w:val="en-US"/>
        </w:rPr>
        <w:t>Currency Market</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In the first half of 2015, the currency market of the country was characterized by slight volatility, including the US dollar exchange rate. Dynamics of the foreign currency exchange rate in the domestic market of the Kyrgyz Republic was conditioned by the impact of fundamental factors – strengthening of the US dollar in the world due to recovery of the American economy and policy conducted by the US FRS on the one hand; increased volatility of the Russian ruble due to aggravation of geopolitical situation in the region, on the other hand. The official exchange rate of the US dollar increased since the beginning of the year by 5.4 percent, from KGS 58.8865 to 62.0788/USD 1 as of the end of the reviewed period.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the reporting period, the effect of external shocks and speculative pressure was regulated by foreign exchange market interventions and other measures of the NBKR, which were focused on smoothing sharp fluctuations of the national currency exchange rate. The National Bank carried out foreign exchange market interventions on sale (to the amount of USD 179.1 million) and purchase of the US dollars (to the amount of USD 40.8 million).</w:t>
      </w: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Money Market</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activity of commercial banks increased in the inter-bank market of borrowings due to change in the basis of carrying out monetary policy. In particular, the volume of repo transactions increased by 1.5 times compared to the same indicator of 2014. In general, the situation in the market was stable, ensuring redistribution of liquidity among commercial banks at the expense of inter-bank transactions.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Besides, the volumes of standard inter-bank credit transactions in the national currency decreased down to KGS 161.0 million.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Status of the Securities Market</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market of the state treasury bills and bonds, issued by the Ministry of Finance changed in different directions.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In the state treasury bills market, which consisted of 3, 6 and 12 month securities, the total volume supply increased up to KGS 3.0 billion (+14.1 percent), the volume of placement – up to KGS 1.9 billion (+15.3 percent). The weighted average revenue of these securities increased by 4.1 percentage points, up to 12.4 percent. 2 and 3 year state treasury bonds were issued in the reporting period. The total volume of declared ST-Bonds issues constituted KGS 2.5 billion, an increase by 3.6 percent compared to the indicator of the same period of 2014. However, physically ST-Bonds were placed to the amount of KGS 1.7 billion, a decrease by 59.6 percent compared to the same indicator of the previous year. Thus, the total weighted average revenue increased by 1.8 percentage point, up to 15.6 percent.</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BANKING SECTOR</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Generally, development of the banking sector was characterized by growth of lending volume on the background of some diversification of the loan portfolio. Growth of major indicators of the banking sector: assets, loan portfolio and resource base was observed.</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Growth of financial intermediation on the part of the banks remained on the background of the main indicators of the banking sector outrunning the rates of economic growth.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results of stress testing indicate moderate level of risks in the banking sector.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Major Trends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As of June 30, 201510, 23 commercial banks (including the Bishkek branch of the National Bank of Pakistan) and 314 of their branches operated in the territory of the Kyrgyz Republic, among which there were 14 banks with foreign participation in the capital, including 9 banks with foreign participation in the amount of more than 50 percent. All banking institutions of the country are universal by the type of business.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licenses of “Manas Bank” CJSC11 and “Issyk-Kul” IB OJSC12 for conducting banking operations were revoked. </w:t>
      </w: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Assets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Generally, growth in the volume of all types of the banking sector assets was observed at the end of the reporting period. Assets of the banking sector at the end of the first half of 2015 amounted to KGS 156.2 billion, having increased by 27.0 percent compared to the first half of 2014 (Chart 2.1.1).</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3429828" cy="3092565"/>
            <wp:effectExtent l="19050" t="0" r="0" b="0"/>
            <wp:docPr id="2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2" cstate="print"/>
                    <a:srcRect/>
                    <a:stretch>
                      <a:fillRect/>
                    </a:stretch>
                  </pic:blipFill>
                  <pic:spPr bwMode="auto">
                    <a:xfrm>
                      <a:off x="0" y="0"/>
                      <a:ext cx="3430797" cy="3093439"/>
                    </a:xfrm>
                    <a:prstGeom prst="rect">
                      <a:avLst/>
                    </a:prstGeom>
                    <a:noFill/>
                    <a:ln w="9525">
                      <a:noFill/>
                      <a:miter lim="800000"/>
                      <a:headEnd/>
                      <a:tailEnd/>
                    </a:ln>
                  </pic:spPr>
                </pic:pic>
              </a:graphicData>
            </a:graphic>
          </wp:inline>
        </w:drawing>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rPr>
      </w:pP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Growth of assets was primarily provided by increase of:</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 the  loan  portfolio  by  32.8  percent  or KGS 21.9 billion;</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 the correspondent accounts and cash by 36.6 percent or KGS 11.2 billion.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The share of loan portfolio in the structure of assets constituted 56.8 percent, having increased by 2.5 p.p. compared to the first half of 2014.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At the end of the first half of 2015, significant changes  were  not  observed  in  the  structure  of the banking sector assets by sectors of economy (Chart 2.1.3).  The  total  share  of  liquid  assets (cash, correspondent accounts and securities) at the end of the first half of 2015 decreased by 0.6 p.p. compared to the same period of 2014 and amounted to 30.5 percent of the total volume of assets or KGS 47.7 billion.</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6120765" cy="2845487"/>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3" cstate="print"/>
                    <a:srcRect/>
                    <a:stretch>
                      <a:fillRect/>
                    </a:stretch>
                  </pic:blipFill>
                  <pic:spPr bwMode="auto">
                    <a:xfrm>
                      <a:off x="0" y="0"/>
                      <a:ext cx="6120765" cy="2845487"/>
                    </a:xfrm>
                    <a:prstGeom prst="rect">
                      <a:avLst/>
                    </a:prstGeom>
                    <a:noFill/>
                    <a:ln w="9525">
                      <a:noFill/>
                      <a:miter lim="800000"/>
                      <a:headEnd/>
                      <a:tailEnd/>
                    </a:ln>
                  </pic:spPr>
                </pic:pic>
              </a:graphicData>
            </a:graphic>
          </wp:inline>
        </w:drawing>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rPr>
      </w:pP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Loan Portfolio</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Growth of banks’ loan portfolio in the first half of 2015 was primarily due to increase in the volume of lending to agricultural sector and trade.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At the end of the first half of 2015, the level of dollarization of the loan portfolio in the banking sector increased by 0.5 p.p. compared to the same period of 2015 and amounted to 52.7 percent (Chart 2.1.4).</w:t>
      </w:r>
    </w:p>
    <w:p w:rsidR="004379E3" w:rsidRPr="0068182D" w:rsidRDefault="004379E3" w:rsidP="00C40532">
      <w:pPr>
        <w:shd w:val="clear" w:color="auto" w:fill="FFFFFF"/>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5973445" cy="3220085"/>
            <wp:effectExtent l="19050" t="0" r="8255" b="0"/>
            <wp:docPr id="2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4" cstate="print"/>
                    <a:srcRect/>
                    <a:stretch>
                      <a:fillRect/>
                    </a:stretch>
                  </pic:blipFill>
                  <pic:spPr bwMode="auto">
                    <a:xfrm>
                      <a:off x="0" y="0"/>
                      <a:ext cx="5973445" cy="3220085"/>
                    </a:xfrm>
                    <a:prstGeom prst="rect">
                      <a:avLst/>
                    </a:prstGeom>
                    <a:noFill/>
                    <a:ln w="9525">
                      <a:noFill/>
                      <a:miter lim="800000"/>
                      <a:headEnd/>
                      <a:tailEnd/>
                    </a:ln>
                  </pic:spPr>
                </pic:pic>
              </a:graphicData>
            </a:graphic>
          </wp:inline>
        </w:drawing>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rPr>
      </w:pP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major share was accounted for medium-term loans from 1 to 3 years in the structure of loan portfolio by maturity, which constituted 44.8 percent at end of the first half of 2015 (Chart 2.1.5).</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5903595" cy="2813050"/>
            <wp:effectExtent l="19050" t="0" r="1905" b="0"/>
            <wp:docPr id="2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5" cstate="print"/>
                    <a:srcRect/>
                    <a:stretch>
                      <a:fillRect/>
                    </a:stretch>
                  </pic:blipFill>
                  <pic:spPr bwMode="auto">
                    <a:xfrm>
                      <a:off x="0" y="0"/>
                      <a:ext cx="5903595" cy="2813050"/>
                    </a:xfrm>
                    <a:prstGeom prst="rect">
                      <a:avLst/>
                    </a:prstGeom>
                    <a:noFill/>
                    <a:ln w="9525">
                      <a:noFill/>
                      <a:miter lim="800000"/>
                      <a:headEnd/>
                      <a:tailEnd/>
                    </a:ln>
                  </pic:spPr>
                </pic:pic>
              </a:graphicData>
            </a:graphic>
          </wp:inline>
        </w:drawing>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rPr>
      </w:pP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Decrease in the share of loans to the trade and agriculture was observed in the sectoral structure of the loan portfolio (Chart 2.1.6). Thus, the share of lending to trade in the loan portfolio at the end of the first half of 2015 decreased from 35.5 percent to 34.0 percent compared to the same period of 2014.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The share of agricultural sector loans decreased from 21.3 percent to 20.7 percent. At the end of the first half of 2015, the volume of lending to agricultural sector increased by 28.8 percent compared to the same period of 2014 and amounted to KGS 18.3 billion.</w:t>
      </w:r>
    </w:p>
    <w:p w:rsidR="004379E3" w:rsidRPr="0068182D" w:rsidRDefault="004379E3" w:rsidP="00C40532">
      <w:pPr>
        <w:shd w:val="clear" w:color="auto" w:fill="FFFFFF"/>
        <w:spacing w:after="0" w:line="240" w:lineRule="auto"/>
        <w:ind w:firstLine="567"/>
        <w:jc w:val="both"/>
        <w:rPr>
          <w:rFonts w:ascii="Times New Roman" w:hAnsi="Times New Roman" w:cs="Times New Roman"/>
          <w:b/>
          <w:sz w:val="28"/>
          <w:szCs w:val="28"/>
          <w:lang w:val="en-US"/>
        </w:rPr>
      </w:pPr>
      <w:r w:rsidRPr="0068182D">
        <w:rPr>
          <w:rFonts w:ascii="Times New Roman" w:hAnsi="Times New Roman" w:cs="Times New Roman"/>
          <w:b/>
          <w:sz w:val="28"/>
          <w:szCs w:val="28"/>
          <w:lang w:val="en-US"/>
        </w:rPr>
        <w:t>Liabilities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At the end of the first half of 2015, liabilities of the banking sector amounted to KGS 133.7 billion, having increased by 28.2 percent compared to the same period of 2014.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Decrease in the share of households’ and non-financial enterprises’ funds was observed in the institutional structure of liabilities (Chart 2.1.7). Moreover, households’ funds remained the major source of attracted banks’ resources.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jc w:val="both"/>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5894070" cy="2852420"/>
            <wp:effectExtent l="19050" t="0" r="0" b="0"/>
            <wp:docPr id="2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6" cstate="print"/>
                    <a:srcRect/>
                    <a:stretch>
                      <a:fillRect/>
                    </a:stretch>
                  </pic:blipFill>
                  <pic:spPr bwMode="auto">
                    <a:xfrm>
                      <a:off x="0" y="0"/>
                      <a:ext cx="5894070" cy="2852420"/>
                    </a:xfrm>
                    <a:prstGeom prst="rect">
                      <a:avLst/>
                    </a:prstGeom>
                    <a:noFill/>
                    <a:ln w="9525">
                      <a:noFill/>
                      <a:miter lim="800000"/>
                      <a:headEnd/>
                      <a:tailEnd/>
                    </a:ln>
                  </pic:spPr>
                </pic:pic>
              </a:graphicData>
            </a:graphic>
          </wp:inline>
        </w:drawing>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rPr>
      </w:pP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rPr>
      </w:pPr>
    </w:p>
    <w:p w:rsidR="004379E3" w:rsidRPr="0068182D" w:rsidRDefault="004379E3" w:rsidP="000537F4">
      <w:pPr>
        <w:pStyle w:val="a4"/>
        <w:numPr>
          <w:ilvl w:val="0"/>
          <w:numId w:val="30"/>
        </w:numPr>
        <w:shd w:val="clear" w:color="auto" w:fill="FFFFFF"/>
        <w:spacing w:after="0" w:line="240" w:lineRule="auto"/>
        <w:ind w:left="0" w:firstLine="567"/>
        <w:jc w:val="both"/>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Turkmenistan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at the current stage</w:t>
      </w:r>
      <w:r w:rsidRPr="0068182D">
        <w:rPr>
          <w:rFonts w:ascii="Times New Roman" w:hAnsi="Times New Roman" w:cs="Times New Roman"/>
          <w:b/>
          <w:sz w:val="28"/>
          <w:szCs w:val="28"/>
          <w:lang w:val="en-US"/>
        </w:rPr>
        <w:t>.</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CD577A" w:rsidP="00C40532">
      <w:pPr>
        <w:shd w:val="clear" w:color="auto" w:fill="FFFFFF"/>
        <w:spacing w:after="0" w:line="240" w:lineRule="auto"/>
        <w:ind w:firstLine="567"/>
        <w:jc w:val="both"/>
        <w:rPr>
          <w:rFonts w:ascii="Times New Roman" w:hAnsi="Times New Roman" w:cs="Times New Roman"/>
          <w:sz w:val="28"/>
          <w:szCs w:val="28"/>
          <w:shd w:val="clear" w:color="auto" w:fill="FFFFFF"/>
          <w:lang w:val="en-US"/>
        </w:rPr>
      </w:pPr>
      <w:hyperlink r:id="rId667" w:tooltip="Turkmenistan" w:history="1">
        <w:r w:rsidR="004379E3" w:rsidRPr="0068182D">
          <w:rPr>
            <w:rStyle w:val="a5"/>
            <w:rFonts w:ascii="Times New Roman" w:hAnsi="Times New Roman" w:cs="Times New Roman"/>
            <w:color w:val="auto"/>
            <w:sz w:val="28"/>
            <w:szCs w:val="28"/>
            <w:u w:val="none"/>
            <w:shd w:val="clear" w:color="auto" w:fill="FFFFFF"/>
            <w:lang w:val="en-US"/>
          </w:rPr>
          <w:t>Turkmenistan</w:t>
        </w:r>
      </w:hyperlink>
      <w:r w:rsidR="004379E3" w:rsidRPr="0068182D">
        <w:rPr>
          <w:rStyle w:val="apple-converted-space"/>
          <w:rFonts w:ascii="Times New Roman" w:hAnsi="Times New Roman" w:cs="Times New Roman"/>
          <w:sz w:val="28"/>
          <w:szCs w:val="28"/>
          <w:shd w:val="clear" w:color="auto" w:fill="FFFFFF"/>
          <w:lang w:val="en-US"/>
        </w:rPr>
        <w:t> </w:t>
      </w:r>
      <w:r w:rsidR="004379E3" w:rsidRPr="0068182D">
        <w:rPr>
          <w:rFonts w:ascii="Times New Roman" w:hAnsi="Times New Roman" w:cs="Times New Roman"/>
          <w:sz w:val="28"/>
          <w:szCs w:val="28"/>
          <w:shd w:val="clear" w:color="auto" w:fill="FFFFFF"/>
          <w:lang w:val="en-US"/>
        </w:rPr>
        <w:t>is one of the world's</w:t>
      </w:r>
      <w:r w:rsidR="004379E3" w:rsidRPr="0068182D">
        <w:rPr>
          <w:rStyle w:val="apple-converted-space"/>
          <w:rFonts w:ascii="Times New Roman" w:hAnsi="Times New Roman" w:cs="Times New Roman"/>
          <w:sz w:val="28"/>
          <w:szCs w:val="28"/>
          <w:shd w:val="clear" w:color="auto" w:fill="FFFFFF"/>
          <w:lang w:val="en-US"/>
        </w:rPr>
        <w:t> </w:t>
      </w:r>
      <w:hyperlink r:id="rId668" w:tooltip="List of countries by real GDP growth rate" w:history="1">
        <w:r w:rsidR="004379E3" w:rsidRPr="0068182D">
          <w:rPr>
            <w:rStyle w:val="a5"/>
            <w:rFonts w:ascii="Times New Roman" w:hAnsi="Times New Roman" w:cs="Times New Roman"/>
            <w:color w:val="auto"/>
            <w:sz w:val="28"/>
            <w:szCs w:val="28"/>
            <w:u w:val="none"/>
            <w:shd w:val="clear" w:color="auto" w:fill="FFFFFF"/>
            <w:lang w:val="en-US"/>
          </w:rPr>
          <w:t>fastest-growing economies</w:t>
        </w:r>
      </w:hyperlink>
      <w:r w:rsidR="004379E3" w:rsidRPr="0068182D">
        <w:rPr>
          <w:rFonts w:ascii="Times New Roman" w:hAnsi="Times New Roman" w:cs="Times New Roman"/>
          <w:sz w:val="28"/>
          <w:szCs w:val="28"/>
          <w:shd w:val="clear" w:color="auto" w:fill="FFFFFF"/>
          <w:lang w:val="en-US"/>
        </w:rPr>
        <w:t>. It is largely a</w:t>
      </w:r>
      <w:r w:rsidR="004379E3" w:rsidRPr="0068182D">
        <w:rPr>
          <w:rStyle w:val="apple-converted-space"/>
          <w:rFonts w:ascii="Times New Roman" w:hAnsi="Times New Roman" w:cs="Times New Roman"/>
          <w:sz w:val="28"/>
          <w:szCs w:val="28"/>
          <w:shd w:val="clear" w:color="auto" w:fill="FFFFFF"/>
          <w:lang w:val="en-US"/>
        </w:rPr>
        <w:t> </w:t>
      </w:r>
      <w:hyperlink r:id="rId669" w:tooltip="Desert" w:history="1">
        <w:r w:rsidR="004379E3" w:rsidRPr="0068182D">
          <w:rPr>
            <w:rStyle w:val="a5"/>
            <w:rFonts w:ascii="Times New Roman" w:hAnsi="Times New Roman" w:cs="Times New Roman"/>
            <w:color w:val="auto"/>
            <w:sz w:val="28"/>
            <w:szCs w:val="28"/>
            <w:u w:val="none"/>
            <w:shd w:val="clear" w:color="auto" w:fill="FFFFFF"/>
            <w:lang w:val="en-US"/>
          </w:rPr>
          <w:t>desert</w:t>
        </w:r>
      </w:hyperlink>
      <w:r w:rsidR="004379E3" w:rsidRPr="0068182D">
        <w:rPr>
          <w:rStyle w:val="apple-converted-space"/>
          <w:rFonts w:ascii="Times New Roman" w:hAnsi="Times New Roman" w:cs="Times New Roman"/>
          <w:sz w:val="28"/>
          <w:szCs w:val="28"/>
          <w:shd w:val="clear" w:color="auto" w:fill="FFFFFF"/>
          <w:lang w:val="en-US"/>
        </w:rPr>
        <w:t> </w:t>
      </w:r>
      <w:r w:rsidR="004379E3" w:rsidRPr="0068182D">
        <w:rPr>
          <w:rFonts w:ascii="Times New Roman" w:hAnsi="Times New Roman" w:cs="Times New Roman"/>
          <w:sz w:val="28"/>
          <w:szCs w:val="28"/>
          <w:shd w:val="clear" w:color="auto" w:fill="FFFFFF"/>
          <w:lang w:val="en-US"/>
        </w:rPr>
        <w:t>country with intensive</w:t>
      </w:r>
      <w:r w:rsidR="004379E3" w:rsidRPr="0068182D">
        <w:rPr>
          <w:rStyle w:val="apple-converted-space"/>
          <w:rFonts w:ascii="Times New Roman" w:hAnsi="Times New Roman" w:cs="Times New Roman"/>
          <w:sz w:val="28"/>
          <w:szCs w:val="28"/>
          <w:shd w:val="clear" w:color="auto" w:fill="FFFFFF"/>
          <w:lang w:val="en-US"/>
        </w:rPr>
        <w:t> </w:t>
      </w:r>
      <w:hyperlink r:id="rId670" w:tooltip="Agriculture" w:history="1">
        <w:r w:rsidR="004379E3" w:rsidRPr="0068182D">
          <w:rPr>
            <w:rStyle w:val="a5"/>
            <w:rFonts w:ascii="Times New Roman" w:hAnsi="Times New Roman" w:cs="Times New Roman"/>
            <w:color w:val="auto"/>
            <w:sz w:val="28"/>
            <w:szCs w:val="28"/>
            <w:u w:val="none"/>
            <w:shd w:val="clear" w:color="auto" w:fill="FFFFFF"/>
            <w:lang w:val="en-US"/>
          </w:rPr>
          <w:t>agriculture</w:t>
        </w:r>
      </w:hyperlink>
      <w:r w:rsidR="004379E3" w:rsidRPr="0068182D">
        <w:rPr>
          <w:rStyle w:val="apple-converted-space"/>
          <w:rFonts w:ascii="Times New Roman" w:hAnsi="Times New Roman" w:cs="Times New Roman"/>
          <w:sz w:val="28"/>
          <w:szCs w:val="28"/>
          <w:shd w:val="clear" w:color="auto" w:fill="FFFFFF"/>
          <w:lang w:val="en-US"/>
        </w:rPr>
        <w:t> </w:t>
      </w:r>
      <w:r w:rsidR="004379E3" w:rsidRPr="0068182D">
        <w:rPr>
          <w:rFonts w:ascii="Times New Roman" w:hAnsi="Times New Roman" w:cs="Times New Roman"/>
          <w:sz w:val="28"/>
          <w:szCs w:val="28"/>
          <w:shd w:val="clear" w:color="auto" w:fill="FFFFFF"/>
          <w:lang w:val="en-US"/>
        </w:rPr>
        <w:t>in irrigated areas, and huge</w:t>
      </w:r>
      <w:r w:rsidR="004379E3" w:rsidRPr="0068182D">
        <w:rPr>
          <w:rStyle w:val="apple-converted-space"/>
          <w:rFonts w:ascii="Times New Roman" w:hAnsi="Times New Roman" w:cs="Times New Roman"/>
          <w:sz w:val="28"/>
          <w:szCs w:val="28"/>
          <w:shd w:val="clear" w:color="auto" w:fill="FFFFFF"/>
          <w:lang w:val="en-US"/>
        </w:rPr>
        <w:t> </w:t>
      </w:r>
      <w:hyperlink r:id="rId671" w:tooltip="Natural gas" w:history="1">
        <w:r w:rsidR="004379E3" w:rsidRPr="0068182D">
          <w:rPr>
            <w:rStyle w:val="a5"/>
            <w:rFonts w:ascii="Times New Roman" w:hAnsi="Times New Roman" w:cs="Times New Roman"/>
            <w:color w:val="auto"/>
            <w:sz w:val="28"/>
            <w:szCs w:val="28"/>
            <w:u w:val="none"/>
            <w:shd w:val="clear" w:color="auto" w:fill="FFFFFF"/>
            <w:lang w:val="en-US"/>
          </w:rPr>
          <w:t>gas</w:t>
        </w:r>
      </w:hyperlink>
      <w:r w:rsidR="004379E3" w:rsidRPr="0068182D">
        <w:rPr>
          <w:rStyle w:val="apple-converted-space"/>
          <w:rFonts w:ascii="Times New Roman" w:hAnsi="Times New Roman" w:cs="Times New Roman"/>
          <w:sz w:val="28"/>
          <w:szCs w:val="28"/>
          <w:shd w:val="clear" w:color="auto" w:fill="FFFFFF"/>
          <w:lang w:val="en-US"/>
        </w:rPr>
        <w:t> </w:t>
      </w:r>
      <w:r w:rsidR="004379E3" w:rsidRPr="0068182D">
        <w:rPr>
          <w:rFonts w:ascii="Times New Roman" w:hAnsi="Times New Roman" w:cs="Times New Roman"/>
          <w:sz w:val="28"/>
          <w:szCs w:val="28"/>
          <w:shd w:val="clear" w:color="auto" w:fill="FFFFFF"/>
          <w:lang w:val="en-US"/>
        </w:rPr>
        <w:t>and</w:t>
      </w:r>
      <w:r w:rsidR="004379E3" w:rsidRPr="0068182D">
        <w:rPr>
          <w:rStyle w:val="apple-converted-space"/>
          <w:rFonts w:ascii="Times New Roman" w:hAnsi="Times New Roman" w:cs="Times New Roman"/>
          <w:sz w:val="28"/>
          <w:szCs w:val="28"/>
          <w:shd w:val="clear" w:color="auto" w:fill="FFFFFF"/>
          <w:lang w:val="en-US"/>
        </w:rPr>
        <w:t> </w:t>
      </w:r>
      <w:hyperlink r:id="rId672" w:tooltip="Petroleum" w:history="1">
        <w:r w:rsidR="004379E3" w:rsidRPr="0068182D">
          <w:rPr>
            <w:rStyle w:val="a5"/>
            <w:rFonts w:ascii="Times New Roman" w:hAnsi="Times New Roman" w:cs="Times New Roman"/>
            <w:color w:val="auto"/>
            <w:sz w:val="28"/>
            <w:szCs w:val="28"/>
            <w:u w:val="none"/>
            <w:shd w:val="clear" w:color="auto" w:fill="FFFFFF"/>
            <w:lang w:val="en-US"/>
          </w:rPr>
          <w:t>oil</w:t>
        </w:r>
      </w:hyperlink>
      <w:r w:rsidR="004379E3" w:rsidRPr="0068182D">
        <w:rPr>
          <w:rStyle w:val="apple-converted-space"/>
          <w:rFonts w:ascii="Times New Roman" w:hAnsi="Times New Roman" w:cs="Times New Roman"/>
          <w:sz w:val="28"/>
          <w:szCs w:val="28"/>
          <w:shd w:val="clear" w:color="auto" w:fill="FFFFFF"/>
          <w:lang w:val="en-US"/>
        </w:rPr>
        <w:t> </w:t>
      </w:r>
      <w:r w:rsidR="004379E3" w:rsidRPr="0068182D">
        <w:rPr>
          <w:rFonts w:ascii="Times New Roman" w:hAnsi="Times New Roman" w:cs="Times New Roman"/>
          <w:sz w:val="28"/>
          <w:szCs w:val="28"/>
          <w:shd w:val="clear" w:color="auto" w:fill="FFFFFF"/>
          <w:lang w:val="en-US"/>
        </w:rPr>
        <w:t>resources. In terms of natural gas reserves, it is</w:t>
      </w:r>
      <w:r w:rsidR="004379E3" w:rsidRPr="0068182D">
        <w:rPr>
          <w:rStyle w:val="apple-converted-space"/>
          <w:rFonts w:ascii="Times New Roman" w:hAnsi="Times New Roman" w:cs="Times New Roman"/>
          <w:sz w:val="28"/>
          <w:szCs w:val="28"/>
          <w:shd w:val="clear" w:color="auto" w:fill="FFFFFF"/>
          <w:lang w:val="en-US"/>
        </w:rPr>
        <w:t> </w:t>
      </w:r>
      <w:hyperlink r:id="rId673" w:tooltip="List of countries by natural gas proven reserves" w:history="1">
        <w:r w:rsidR="004379E3" w:rsidRPr="0068182D">
          <w:rPr>
            <w:rStyle w:val="a5"/>
            <w:rFonts w:ascii="Times New Roman" w:hAnsi="Times New Roman" w:cs="Times New Roman"/>
            <w:color w:val="auto"/>
            <w:sz w:val="28"/>
            <w:szCs w:val="28"/>
            <w:u w:val="none"/>
            <w:shd w:val="clear" w:color="auto" w:fill="FFFFFF"/>
            <w:lang w:val="en-US"/>
          </w:rPr>
          <w:t>ranked 4th in the world</w:t>
        </w:r>
      </w:hyperlink>
      <w:r w:rsidR="004379E3" w:rsidRPr="0068182D">
        <w:rPr>
          <w:rFonts w:ascii="Times New Roman" w:hAnsi="Times New Roman" w:cs="Times New Roman"/>
          <w:sz w:val="28"/>
          <w:szCs w:val="28"/>
          <w:shd w:val="clear" w:color="auto" w:fill="FFFFFF"/>
          <w:lang w:val="en-US"/>
        </w:rPr>
        <w:t>. Regarding agriculture, the two largest crops are cotton, most of which is produced for export, and wheat, which is domestically consumed.</w:t>
      </w:r>
      <w:hyperlink r:id="rId674" w:anchor="cite_note-cia.gov-5" w:history="1">
        <w:r w:rsidR="004379E3" w:rsidRPr="0068182D">
          <w:rPr>
            <w:rStyle w:val="a5"/>
            <w:rFonts w:ascii="Times New Roman" w:hAnsi="Times New Roman" w:cs="Times New Roman"/>
            <w:color w:val="auto"/>
            <w:sz w:val="28"/>
            <w:szCs w:val="28"/>
            <w:u w:val="none"/>
            <w:shd w:val="clear" w:color="auto" w:fill="FFFFFF"/>
            <w:vertAlign w:val="superscript"/>
            <w:lang w:val="en-US"/>
          </w:rPr>
          <w:t>[5]</w:t>
        </w:r>
      </w:hyperlink>
      <w:r w:rsidR="004379E3" w:rsidRPr="0068182D">
        <w:rPr>
          <w:rStyle w:val="apple-converted-space"/>
          <w:rFonts w:ascii="Times New Roman" w:hAnsi="Times New Roman" w:cs="Times New Roman"/>
          <w:sz w:val="28"/>
          <w:szCs w:val="28"/>
          <w:shd w:val="clear" w:color="auto" w:fill="FFFFFF"/>
          <w:lang w:val="en-US"/>
        </w:rPr>
        <w:t> </w:t>
      </w:r>
      <w:r w:rsidR="004379E3" w:rsidRPr="0068182D">
        <w:rPr>
          <w:rFonts w:ascii="Times New Roman" w:hAnsi="Times New Roman" w:cs="Times New Roman"/>
          <w:sz w:val="28"/>
          <w:szCs w:val="28"/>
          <w:shd w:val="clear" w:color="auto" w:fill="FFFFFF"/>
          <w:lang w:val="en-US"/>
        </w:rPr>
        <w:t>Turkmenistan is among</w:t>
      </w:r>
      <w:r w:rsidR="004379E3" w:rsidRPr="0068182D">
        <w:rPr>
          <w:rStyle w:val="apple-converted-space"/>
          <w:rFonts w:ascii="Times New Roman" w:hAnsi="Times New Roman" w:cs="Times New Roman"/>
          <w:sz w:val="28"/>
          <w:szCs w:val="28"/>
          <w:shd w:val="clear" w:color="auto" w:fill="FFFFFF"/>
          <w:lang w:val="en-US"/>
        </w:rPr>
        <w:t> </w:t>
      </w:r>
      <w:hyperlink r:id="rId675" w:anchor="Leading_producer_countries" w:tooltip="Cotton" w:history="1">
        <w:r w:rsidR="004379E3" w:rsidRPr="0068182D">
          <w:rPr>
            <w:rStyle w:val="a5"/>
            <w:rFonts w:ascii="Times New Roman" w:hAnsi="Times New Roman" w:cs="Times New Roman"/>
            <w:color w:val="auto"/>
            <w:sz w:val="28"/>
            <w:szCs w:val="28"/>
            <w:u w:val="none"/>
            <w:shd w:val="clear" w:color="auto" w:fill="FFFFFF"/>
            <w:lang w:val="en-US"/>
          </w:rPr>
          <w:t>the top ten producers of cotton in the world</w:t>
        </w:r>
      </w:hyperlink>
      <w:r w:rsidR="004379E3" w:rsidRPr="0068182D">
        <w:rPr>
          <w:rFonts w:ascii="Times New Roman" w:hAnsi="Times New Roman" w:cs="Times New Roman"/>
          <w:sz w:val="28"/>
          <w:szCs w:val="28"/>
          <w:shd w:val="clear" w:color="auto" w:fill="FFFFFF"/>
          <w:lang w:val="en-US"/>
        </w:rPr>
        <w:t>. From 1998-2005,</w:t>
      </w:r>
      <w:r w:rsidR="004379E3" w:rsidRPr="0068182D">
        <w:rPr>
          <w:rStyle w:val="apple-converted-space"/>
          <w:rFonts w:ascii="Times New Roman" w:hAnsi="Times New Roman" w:cs="Times New Roman"/>
          <w:sz w:val="28"/>
          <w:szCs w:val="28"/>
          <w:shd w:val="clear" w:color="auto" w:fill="FFFFFF"/>
          <w:lang w:val="en-US"/>
        </w:rPr>
        <w:t> </w:t>
      </w:r>
      <w:hyperlink r:id="rId676" w:tooltip="Turkmenistan" w:history="1">
        <w:r w:rsidR="004379E3" w:rsidRPr="0068182D">
          <w:rPr>
            <w:rStyle w:val="a5"/>
            <w:rFonts w:ascii="Times New Roman" w:hAnsi="Times New Roman" w:cs="Times New Roman"/>
            <w:color w:val="auto"/>
            <w:sz w:val="28"/>
            <w:szCs w:val="28"/>
            <w:u w:val="none"/>
            <w:shd w:val="clear" w:color="auto" w:fill="FFFFFF"/>
            <w:lang w:val="en-US"/>
          </w:rPr>
          <w:t>Turkmenistan</w:t>
        </w:r>
      </w:hyperlink>
      <w:r w:rsidR="004379E3" w:rsidRPr="0068182D">
        <w:rPr>
          <w:rStyle w:val="apple-converted-space"/>
          <w:rFonts w:ascii="Times New Roman" w:hAnsi="Times New Roman" w:cs="Times New Roman"/>
          <w:sz w:val="28"/>
          <w:szCs w:val="28"/>
          <w:shd w:val="clear" w:color="auto" w:fill="FFFFFF"/>
          <w:lang w:val="en-US"/>
        </w:rPr>
        <w:t> </w:t>
      </w:r>
      <w:r w:rsidR="004379E3" w:rsidRPr="0068182D">
        <w:rPr>
          <w:rFonts w:ascii="Times New Roman" w:hAnsi="Times New Roman" w:cs="Times New Roman"/>
          <w:sz w:val="28"/>
          <w:szCs w:val="28"/>
          <w:shd w:val="clear" w:color="auto" w:fill="FFFFFF"/>
          <w:lang w:val="en-US"/>
        </w:rPr>
        <w:t>suffered from the continued lack of adequate export routes for natural gas and from obligations on extensive short-term external debt. At the same time, however, total exports rose by an average of roughly 15% per year from 2003–08, largely because of higher international oil and gas prices. As in the Soviet era,</w:t>
      </w:r>
      <w:r w:rsidR="004379E3" w:rsidRPr="0068182D">
        <w:rPr>
          <w:rStyle w:val="apple-converted-space"/>
          <w:rFonts w:ascii="Times New Roman" w:hAnsi="Times New Roman" w:cs="Times New Roman"/>
          <w:sz w:val="28"/>
          <w:szCs w:val="28"/>
          <w:shd w:val="clear" w:color="auto" w:fill="FFFFFF"/>
          <w:lang w:val="en-US"/>
        </w:rPr>
        <w:t> </w:t>
      </w:r>
      <w:hyperlink r:id="rId677" w:tooltip="Economic planning" w:history="1">
        <w:r w:rsidR="004379E3" w:rsidRPr="0068182D">
          <w:rPr>
            <w:rStyle w:val="a5"/>
            <w:rFonts w:ascii="Times New Roman" w:hAnsi="Times New Roman" w:cs="Times New Roman"/>
            <w:color w:val="auto"/>
            <w:sz w:val="28"/>
            <w:szCs w:val="28"/>
            <w:u w:val="none"/>
            <w:shd w:val="clear" w:color="auto" w:fill="FFFFFF"/>
            <w:lang w:val="en-US"/>
          </w:rPr>
          <w:t>central planning</w:t>
        </w:r>
      </w:hyperlink>
      <w:r w:rsidR="004379E3" w:rsidRPr="0068182D">
        <w:rPr>
          <w:rStyle w:val="apple-converted-space"/>
          <w:rFonts w:ascii="Times New Roman" w:hAnsi="Times New Roman" w:cs="Times New Roman"/>
          <w:sz w:val="28"/>
          <w:szCs w:val="28"/>
          <w:shd w:val="clear" w:color="auto" w:fill="FFFFFF"/>
          <w:lang w:val="en-US"/>
        </w:rPr>
        <w:t> </w:t>
      </w:r>
      <w:r w:rsidR="004379E3" w:rsidRPr="0068182D">
        <w:rPr>
          <w:rFonts w:ascii="Times New Roman" w:hAnsi="Times New Roman" w:cs="Times New Roman"/>
          <w:sz w:val="28"/>
          <w:szCs w:val="28"/>
          <w:shd w:val="clear" w:color="auto" w:fill="FFFFFF"/>
          <w:lang w:val="en-US"/>
        </w:rPr>
        <w:t>and state control pervade the system, and the Niyazov government (in power 1991–2006) consistently rejected market reform programs. The state subsidizes a wide variety of commodities and services. Since his election in 2007, President</w:t>
      </w:r>
      <w:r w:rsidR="004379E3" w:rsidRPr="0068182D">
        <w:rPr>
          <w:rStyle w:val="apple-converted-space"/>
          <w:rFonts w:ascii="Times New Roman" w:hAnsi="Times New Roman" w:cs="Times New Roman"/>
          <w:sz w:val="28"/>
          <w:szCs w:val="28"/>
          <w:shd w:val="clear" w:color="auto" w:fill="FFFFFF"/>
          <w:lang w:val="en-US"/>
        </w:rPr>
        <w:t> </w:t>
      </w:r>
      <w:hyperlink r:id="rId678" w:tooltip="Gurbanguly Berdimuhamedow" w:history="1">
        <w:r w:rsidR="004379E3" w:rsidRPr="0068182D">
          <w:rPr>
            <w:rStyle w:val="a5"/>
            <w:rFonts w:ascii="Times New Roman" w:hAnsi="Times New Roman" w:cs="Times New Roman"/>
            <w:color w:val="auto"/>
            <w:sz w:val="28"/>
            <w:szCs w:val="28"/>
            <w:u w:val="none"/>
            <w:shd w:val="clear" w:color="auto" w:fill="FFFFFF"/>
            <w:lang w:val="en-US"/>
          </w:rPr>
          <w:t>Gurbanguly Berdimuhamedow</w:t>
        </w:r>
      </w:hyperlink>
      <w:r w:rsidR="004379E3" w:rsidRPr="0068182D">
        <w:rPr>
          <w:rStyle w:val="apple-converted-space"/>
          <w:rFonts w:ascii="Times New Roman" w:hAnsi="Times New Roman" w:cs="Times New Roman"/>
          <w:sz w:val="28"/>
          <w:szCs w:val="28"/>
          <w:shd w:val="clear" w:color="auto" w:fill="FFFFFF"/>
          <w:lang w:val="en-US"/>
        </w:rPr>
        <w:t> </w:t>
      </w:r>
      <w:r w:rsidR="004379E3" w:rsidRPr="0068182D">
        <w:rPr>
          <w:rFonts w:ascii="Times New Roman" w:hAnsi="Times New Roman" w:cs="Times New Roman"/>
          <w:sz w:val="28"/>
          <w:szCs w:val="28"/>
          <w:shd w:val="clear" w:color="auto" w:fill="FFFFFF"/>
          <w:lang w:val="en-US"/>
        </w:rPr>
        <w:t>unified the country's dual currency</w:t>
      </w:r>
      <w:r w:rsidR="004379E3" w:rsidRPr="0068182D">
        <w:rPr>
          <w:rStyle w:val="apple-converted-space"/>
          <w:rFonts w:ascii="Times New Roman" w:hAnsi="Times New Roman" w:cs="Times New Roman"/>
          <w:sz w:val="28"/>
          <w:szCs w:val="28"/>
          <w:shd w:val="clear" w:color="auto" w:fill="FFFFFF"/>
          <w:lang w:val="en-US"/>
        </w:rPr>
        <w:t> </w:t>
      </w:r>
      <w:hyperlink r:id="rId679" w:tooltip="Exchange rate" w:history="1">
        <w:r w:rsidR="004379E3" w:rsidRPr="0068182D">
          <w:rPr>
            <w:rStyle w:val="a5"/>
            <w:rFonts w:ascii="Times New Roman" w:hAnsi="Times New Roman" w:cs="Times New Roman"/>
            <w:color w:val="auto"/>
            <w:sz w:val="28"/>
            <w:szCs w:val="28"/>
            <w:u w:val="none"/>
            <w:shd w:val="clear" w:color="auto" w:fill="FFFFFF"/>
            <w:lang w:val="en-US"/>
          </w:rPr>
          <w:t>exchange rate</w:t>
        </w:r>
      </w:hyperlink>
      <w:r w:rsidR="004379E3" w:rsidRPr="0068182D">
        <w:rPr>
          <w:rFonts w:ascii="Times New Roman" w:hAnsi="Times New Roman" w:cs="Times New Roman"/>
          <w:sz w:val="28"/>
          <w:szCs w:val="28"/>
          <w:shd w:val="clear" w:color="auto" w:fill="FFFFFF"/>
          <w:lang w:val="en-US"/>
        </w:rPr>
        <w:t>, ordered the redenomination of the manat, reduced state subsidies for gasoline, and initiated development of a special tourism zone (</w:t>
      </w:r>
      <w:hyperlink r:id="rId680" w:tooltip="Avaza" w:history="1">
        <w:r w:rsidR="004379E3" w:rsidRPr="0068182D">
          <w:rPr>
            <w:rStyle w:val="a5"/>
            <w:rFonts w:ascii="Times New Roman" w:hAnsi="Times New Roman" w:cs="Times New Roman"/>
            <w:color w:val="auto"/>
            <w:sz w:val="28"/>
            <w:szCs w:val="28"/>
            <w:u w:val="none"/>
            <w:shd w:val="clear" w:color="auto" w:fill="FFFFFF"/>
            <w:lang w:val="en-US"/>
          </w:rPr>
          <w:t>Avaza</w:t>
        </w:r>
      </w:hyperlink>
      <w:r w:rsidR="004379E3" w:rsidRPr="0068182D">
        <w:rPr>
          <w:rFonts w:ascii="Times New Roman" w:hAnsi="Times New Roman" w:cs="Times New Roman"/>
          <w:sz w:val="28"/>
          <w:szCs w:val="28"/>
          <w:shd w:val="clear" w:color="auto" w:fill="FFFFFF"/>
          <w:lang w:val="en-US"/>
        </w:rPr>
        <w:t>) on the Caspian Sea. Since 2009, Turkmenistan maintains the fixed exchange rate. As of February 5th 2016, 1</w:t>
      </w:r>
      <w:r w:rsidR="004379E3" w:rsidRPr="0068182D">
        <w:rPr>
          <w:rStyle w:val="apple-converted-space"/>
          <w:rFonts w:ascii="Times New Roman" w:hAnsi="Times New Roman" w:cs="Times New Roman"/>
          <w:sz w:val="28"/>
          <w:szCs w:val="28"/>
          <w:shd w:val="clear" w:color="auto" w:fill="FFFFFF"/>
          <w:lang w:val="en-US"/>
        </w:rPr>
        <w:t> </w:t>
      </w:r>
      <w:hyperlink r:id="rId681" w:tooltip="United States Dollar" w:history="1">
        <w:r w:rsidR="004379E3" w:rsidRPr="0068182D">
          <w:rPr>
            <w:rStyle w:val="a5"/>
            <w:rFonts w:ascii="Times New Roman" w:hAnsi="Times New Roman" w:cs="Times New Roman"/>
            <w:color w:val="auto"/>
            <w:sz w:val="28"/>
            <w:szCs w:val="28"/>
            <w:u w:val="none"/>
            <w:shd w:val="clear" w:color="auto" w:fill="FFFFFF"/>
            <w:lang w:val="en-US"/>
          </w:rPr>
          <w:t>United States Dollar</w:t>
        </w:r>
      </w:hyperlink>
      <w:r w:rsidR="004379E3" w:rsidRPr="0068182D">
        <w:rPr>
          <w:rStyle w:val="apple-converted-space"/>
          <w:rFonts w:ascii="Times New Roman" w:hAnsi="Times New Roman" w:cs="Times New Roman"/>
          <w:sz w:val="28"/>
          <w:szCs w:val="28"/>
          <w:shd w:val="clear" w:color="auto" w:fill="FFFFFF"/>
          <w:lang w:val="en-US"/>
        </w:rPr>
        <w:t> </w:t>
      </w:r>
      <w:r w:rsidR="004379E3" w:rsidRPr="0068182D">
        <w:rPr>
          <w:rFonts w:ascii="Times New Roman" w:hAnsi="Times New Roman" w:cs="Times New Roman"/>
          <w:sz w:val="28"/>
          <w:szCs w:val="28"/>
          <w:shd w:val="clear" w:color="auto" w:fill="FFFFFF"/>
          <w:lang w:val="en-US"/>
        </w:rPr>
        <w:t>is equivalent to 3.50</w:t>
      </w:r>
      <w:hyperlink r:id="rId682" w:anchor="cite_note-6" w:history="1">
        <w:r w:rsidR="004379E3" w:rsidRPr="0068182D">
          <w:rPr>
            <w:rStyle w:val="a5"/>
            <w:rFonts w:ascii="Times New Roman" w:hAnsi="Times New Roman" w:cs="Times New Roman"/>
            <w:color w:val="auto"/>
            <w:sz w:val="28"/>
            <w:szCs w:val="28"/>
            <w:u w:val="none"/>
            <w:shd w:val="clear" w:color="auto" w:fill="FFFFFF"/>
            <w:vertAlign w:val="superscript"/>
            <w:lang w:val="en-US"/>
          </w:rPr>
          <w:t>[6]</w:t>
        </w:r>
      </w:hyperlink>
      <w:r w:rsidR="004379E3" w:rsidRPr="0068182D">
        <w:rPr>
          <w:rStyle w:val="apple-converted-space"/>
          <w:rFonts w:ascii="Times New Roman" w:hAnsi="Times New Roman" w:cs="Times New Roman"/>
          <w:sz w:val="28"/>
          <w:szCs w:val="28"/>
          <w:shd w:val="clear" w:color="auto" w:fill="FFFFFF"/>
          <w:lang w:val="en-US"/>
        </w:rPr>
        <w:t> </w:t>
      </w:r>
      <w:hyperlink r:id="rId683" w:tooltip="Turkmenistan manat" w:history="1">
        <w:r w:rsidR="004379E3" w:rsidRPr="0068182D">
          <w:rPr>
            <w:rStyle w:val="a5"/>
            <w:rFonts w:ascii="Times New Roman" w:hAnsi="Times New Roman" w:cs="Times New Roman"/>
            <w:color w:val="auto"/>
            <w:sz w:val="28"/>
            <w:szCs w:val="28"/>
            <w:u w:val="none"/>
            <w:shd w:val="clear" w:color="auto" w:fill="FFFFFF"/>
            <w:lang w:val="en-US"/>
          </w:rPr>
          <w:t>Turkmenistan manat</w:t>
        </w:r>
      </w:hyperlink>
      <w:r w:rsidR="004379E3" w:rsidRPr="0068182D">
        <w:rPr>
          <w:rFonts w:ascii="Times New Roman" w:hAnsi="Times New Roman" w:cs="Times New Roman"/>
          <w:sz w:val="28"/>
          <w:szCs w:val="28"/>
          <w:shd w:val="clear" w:color="auto" w:fill="FFFFFF"/>
          <w:lang w:val="en-US"/>
        </w:rPr>
        <w:t>.</w:t>
      </w:r>
    </w:p>
    <w:p w:rsidR="004379E3" w:rsidRPr="0068182D" w:rsidRDefault="004379E3" w:rsidP="00C40532">
      <w:pPr>
        <w:pStyle w:val="2"/>
        <w:pBdr>
          <w:bottom w:val="single" w:sz="6" w:space="0" w:color="AAAAAA"/>
        </w:pBdr>
        <w:shd w:val="clear" w:color="auto" w:fill="FFFFFF"/>
        <w:spacing w:before="0" w:beforeAutospacing="0" w:after="0" w:afterAutospacing="0"/>
        <w:ind w:firstLine="567"/>
        <w:rPr>
          <w:rStyle w:val="mw-headline"/>
          <w:b w:val="0"/>
          <w:bCs w:val="0"/>
          <w:sz w:val="28"/>
          <w:szCs w:val="28"/>
          <w:lang w:val="en-US"/>
        </w:rPr>
      </w:pPr>
    </w:p>
    <w:p w:rsidR="004379E3" w:rsidRPr="0068182D" w:rsidRDefault="004379E3" w:rsidP="00C40532">
      <w:pPr>
        <w:pStyle w:val="2"/>
        <w:pBdr>
          <w:bottom w:val="single" w:sz="6" w:space="0" w:color="AAAAAA"/>
        </w:pBdr>
        <w:shd w:val="clear" w:color="auto" w:fill="FFFFFF"/>
        <w:spacing w:before="0" w:beforeAutospacing="0" w:after="0" w:afterAutospacing="0"/>
        <w:ind w:firstLine="567"/>
        <w:rPr>
          <w:bCs w:val="0"/>
          <w:sz w:val="28"/>
          <w:szCs w:val="28"/>
          <w:lang w:val="en-US"/>
        </w:rPr>
      </w:pPr>
      <w:r w:rsidRPr="0068182D">
        <w:rPr>
          <w:rStyle w:val="mw-headline"/>
          <w:bCs w:val="0"/>
          <w:sz w:val="28"/>
          <w:szCs w:val="28"/>
          <w:lang w:val="en-US"/>
        </w:rPr>
        <w:t>Fiscal Policy</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budget making process and its implementation goes according to the Law “On Budget System”. The law fixes legal foundations of organizing management and operating budget system, regulates interrelations between budgets of all levels. The Government of</w:t>
      </w:r>
      <w:r w:rsidRPr="0068182D">
        <w:rPr>
          <w:rStyle w:val="apple-converted-space"/>
          <w:sz w:val="28"/>
          <w:szCs w:val="28"/>
          <w:lang w:val="en-US"/>
        </w:rPr>
        <w:t> </w:t>
      </w:r>
      <w:hyperlink r:id="rId684" w:tooltip="Turkmenistan" w:history="1">
        <w:r w:rsidRPr="0068182D">
          <w:rPr>
            <w:rStyle w:val="a5"/>
            <w:color w:val="auto"/>
            <w:sz w:val="28"/>
            <w:szCs w:val="28"/>
            <w:u w:val="none"/>
            <w:lang w:val="en-US"/>
          </w:rPr>
          <w:t>Turkmenistan</w:t>
        </w:r>
      </w:hyperlink>
      <w:r w:rsidRPr="0068182D">
        <w:rPr>
          <w:rStyle w:val="apple-converted-space"/>
          <w:sz w:val="28"/>
          <w:szCs w:val="28"/>
          <w:lang w:val="en-US"/>
        </w:rPr>
        <w:t> </w:t>
      </w:r>
      <w:r w:rsidRPr="0068182D">
        <w:rPr>
          <w:sz w:val="28"/>
          <w:szCs w:val="28"/>
          <w:lang w:val="en-US"/>
        </w:rPr>
        <w:t>discusses the State budget draft and submits it to the</w:t>
      </w:r>
      <w:r w:rsidRPr="0068182D">
        <w:rPr>
          <w:rStyle w:val="apple-converted-space"/>
          <w:sz w:val="28"/>
          <w:szCs w:val="28"/>
          <w:lang w:val="en-US"/>
        </w:rPr>
        <w:t> </w:t>
      </w:r>
      <w:hyperlink r:id="rId685" w:tooltip="President of Turkmenistan" w:history="1">
        <w:r w:rsidRPr="0068182D">
          <w:rPr>
            <w:rStyle w:val="a5"/>
            <w:color w:val="auto"/>
            <w:sz w:val="28"/>
            <w:szCs w:val="28"/>
            <w:u w:val="none"/>
            <w:lang w:val="en-US"/>
          </w:rPr>
          <w:t>President of Turkmenistan</w:t>
        </w:r>
      </w:hyperlink>
      <w:r w:rsidRPr="0068182D">
        <w:rPr>
          <w:sz w:val="28"/>
          <w:szCs w:val="28"/>
          <w:lang w:val="en-US"/>
        </w:rPr>
        <w:t>. Prior to one month of the beginning of the financial year the</w:t>
      </w:r>
      <w:r w:rsidRPr="0068182D">
        <w:rPr>
          <w:rStyle w:val="apple-converted-space"/>
          <w:sz w:val="28"/>
          <w:szCs w:val="28"/>
          <w:lang w:val="en-US"/>
        </w:rPr>
        <w:t> </w:t>
      </w:r>
      <w:hyperlink r:id="rId686" w:tooltip="President of Turkmenistan" w:history="1">
        <w:r w:rsidRPr="0068182D">
          <w:rPr>
            <w:rStyle w:val="a5"/>
            <w:color w:val="auto"/>
            <w:sz w:val="28"/>
            <w:szCs w:val="28"/>
            <w:u w:val="none"/>
            <w:lang w:val="en-US"/>
          </w:rPr>
          <w:t>President of Turkmenistan</w:t>
        </w:r>
      </w:hyperlink>
      <w:r w:rsidRPr="0068182D">
        <w:rPr>
          <w:rStyle w:val="apple-converted-space"/>
          <w:sz w:val="28"/>
          <w:szCs w:val="28"/>
          <w:lang w:val="en-US"/>
        </w:rPr>
        <w:t> </w:t>
      </w:r>
      <w:r w:rsidRPr="0068182D">
        <w:rPr>
          <w:sz w:val="28"/>
          <w:szCs w:val="28"/>
          <w:lang w:val="en-US"/>
        </w:rPr>
        <w:t>submits to the</w:t>
      </w:r>
      <w:r w:rsidRPr="0068182D">
        <w:rPr>
          <w:rStyle w:val="apple-converted-space"/>
          <w:sz w:val="28"/>
          <w:szCs w:val="28"/>
          <w:lang w:val="en-US"/>
        </w:rPr>
        <w:t> </w:t>
      </w:r>
      <w:hyperlink r:id="rId687" w:tooltip="Assembly of Turkmenistan" w:history="1">
        <w:r w:rsidRPr="0068182D">
          <w:rPr>
            <w:rStyle w:val="a5"/>
            <w:color w:val="auto"/>
            <w:sz w:val="28"/>
            <w:szCs w:val="28"/>
            <w:u w:val="none"/>
            <w:lang w:val="en-US"/>
          </w:rPr>
          <w:t>Assembly of Turkmenistan</w:t>
        </w:r>
      </w:hyperlink>
      <w:r w:rsidRPr="0068182D">
        <w:rPr>
          <w:rStyle w:val="apple-converted-space"/>
          <w:sz w:val="28"/>
          <w:szCs w:val="28"/>
          <w:lang w:val="en-US"/>
        </w:rPr>
        <w:t> </w:t>
      </w:r>
      <w:r w:rsidRPr="0068182D">
        <w:rPr>
          <w:sz w:val="28"/>
          <w:szCs w:val="28"/>
          <w:lang w:val="en-US"/>
        </w:rPr>
        <w:t>(Mejlis) the State budget draft for consideration and adoption. Budget statistics are unreliable because the government spends large amounts of extra-budgetary funds. In 2012, it is estimated that the budget expenditures are US$26.9 billion, and revenues are US$26.4 billion, creating a slight deficit.</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pStyle w:val="3"/>
        <w:shd w:val="clear" w:color="auto" w:fill="FFFFFF"/>
        <w:spacing w:before="0" w:line="240" w:lineRule="auto"/>
        <w:ind w:firstLine="567"/>
        <w:rPr>
          <w:rFonts w:ascii="Times New Roman" w:hAnsi="Times New Roman" w:cs="Times New Roman"/>
          <w:color w:val="000000"/>
          <w:sz w:val="28"/>
          <w:szCs w:val="28"/>
          <w:lang w:val="en-US"/>
        </w:rPr>
      </w:pPr>
      <w:r w:rsidRPr="0068182D">
        <w:rPr>
          <w:rStyle w:val="mw-headline"/>
          <w:rFonts w:ascii="Times New Roman" w:hAnsi="Times New Roman" w:cs="Times New Roman"/>
          <w:color w:val="000000"/>
          <w:sz w:val="28"/>
          <w:szCs w:val="28"/>
          <w:lang w:val="en-US"/>
        </w:rPr>
        <w:t>Banking</w:t>
      </w:r>
    </w:p>
    <w:p w:rsidR="004379E3" w:rsidRPr="0068182D" w:rsidRDefault="004379E3" w:rsidP="00C40532">
      <w:pPr>
        <w:pStyle w:val="a6"/>
        <w:shd w:val="clear" w:color="auto" w:fill="FFFFFF"/>
        <w:spacing w:before="0" w:beforeAutospacing="0" w:after="0" w:afterAutospacing="0"/>
        <w:ind w:firstLine="567"/>
        <w:jc w:val="both"/>
        <w:rPr>
          <w:sz w:val="28"/>
          <w:szCs w:val="28"/>
          <w:lang w:val="en-US"/>
        </w:rPr>
      </w:pPr>
      <w:r w:rsidRPr="0068182D">
        <w:rPr>
          <w:sz w:val="28"/>
          <w:szCs w:val="28"/>
          <w:lang w:val="en-US"/>
        </w:rPr>
        <w:t>The financial system is under full state control. The banking system, which was reduced substantially after the 1998 financial crisis, includes 12 national banks. These institutions have the same basic division of responsibility as in the Soviet era, overseen by the</w:t>
      </w:r>
      <w:r w:rsidRPr="0068182D">
        <w:rPr>
          <w:rStyle w:val="apple-converted-space"/>
          <w:sz w:val="28"/>
          <w:szCs w:val="28"/>
          <w:lang w:val="en-US"/>
        </w:rPr>
        <w:t> </w:t>
      </w:r>
      <w:hyperlink r:id="rId688" w:tooltip="Central Bank of Turkmenistan" w:history="1">
        <w:r w:rsidRPr="0068182D">
          <w:rPr>
            <w:rStyle w:val="a5"/>
            <w:color w:val="auto"/>
            <w:sz w:val="28"/>
            <w:szCs w:val="28"/>
            <w:u w:val="none"/>
            <w:lang w:val="en-US"/>
          </w:rPr>
          <w:t>Central Bank of Turkmenistan</w:t>
        </w:r>
      </w:hyperlink>
      <w:r w:rsidRPr="0068182D">
        <w:rPr>
          <w:sz w:val="28"/>
          <w:szCs w:val="28"/>
          <w:lang w:val="en-US"/>
        </w:rPr>
        <w:t>. Lending operations and household savings have not been important functions of this system. In 2005 an estimated 95 percent of loans went to state enterprises. Turkmengosstrakh, the state insurance firm, has a complete monopoly of the very small insurance industry.</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567"/>
        <w:jc w:val="both"/>
        <w:rPr>
          <w:rFonts w:ascii="Times New Roman" w:hAnsi="Times New Roman" w:cs="Times New Roman"/>
          <w:color w:val="555555"/>
          <w:sz w:val="28"/>
          <w:szCs w:val="28"/>
          <w:lang w:val="en-US"/>
        </w:rPr>
      </w:pPr>
      <w:r w:rsidRPr="0068182D">
        <w:rPr>
          <w:rFonts w:ascii="Times New Roman" w:hAnsi="Times New Roman" w:cs="Times New Roman"/>
          <w:b/>
          <w:bCs/>
          <w:sz w:val="28"/>
          <w:szCs w:val="28"/>
          <w:lang w:val="en-US"/>
        </w:rPr>
        <w:t>BANKS</w:t>
      </w:r>
      <w:r w:rsidRPr="0068182D">
        <w:rPr>
          <w:rFonts w:ascii="Times New Roman" w:hAnsi="Times New Roman" w:cs="Times New Roman"/>
          <w:color w:val="555555"/>
          <w:sz w:val="28"/>
          <w:szCs w:val="28"/>
          <w:lang w:val="en-US"/>
        </w:rPr>
        <w:t xml:space="preserve"> </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Since 1991, with the creation of a new independent state, also the </w:t>
      </w:r>
      <w:r w:rsidRPr="0068182D">
        <w:rPr>
          <w:rFonts w:ascii="Times New Roman" w:hAnsi="Times New Roman" w:cs="Times New Roman"/>
          <w:bCs/>
          <w:sz w:val="28"/>
          <w:szCs w:val="28"/>
          <w:lang w:val="en-US"/>
        </w:rPr>
        <w:t>banking system</w:t>
      </w:r>
      <w:r w:rsidRPr="0068182D">
        <w:rPr>
          <w:rFonts w:ascii="Times New Roman" w:hAnsi="Times New Roman" w:cs="Times New Roman"/>
          <w:sz w:val="28"/>
          <w:szCs w:val="28"/>
          <w:lang w:val="en-US"/>
        </w:rPr>
        <w:t> of the country has entered upon a period of renewal. At the moment the banking system of Turkmenistan is constituited by the central bank and by some </w:t>
      </w:r>
      <w:hyperlink r:id="rId689" w:history="1">
        <w:r w:rsidRPr="0068182D">
          <w:rPr>
            <w:rFonts w:ascii="Times New Roman" w:hAnsi="Times New Roman" w:cs="Times New Roman"/>
            <w:sz w:val="28"/>
            <w:szCs w:val="28"/>
            <w:lang w:val="en-US"/>
          </w:rPr>
          <w:t>commercial banks</w:t>
        </w:r>
      </w:hyperlink>
      <w:r w:rsidRPr="0068182D">
        <w:rPr>
          <w:rFonts w:ascii="Times New Roman" w:hAnsi="Times New Roman" w:cs="Times New Roman"/>
          <w:sz w:val="28"/>
          <w:szCs w:val="28"/>
          <w:lang w:val="en-US"/>
        </w:rPr>
        <w:t>.</w:t>
      </w:r>
      <w:r w:rsidRPr="0068182D">
        <w:rPr>
          <w:rFonts w:ascii="Times New Roman" w:hAnsi="Times New Roman" w:cs="Times New Roman"/>
          <w:sz w:val="28"/>
          <w:szCs w:val="28"/>
          <w:lang w:val="en-US"/>
        </w:rPr>
        <w:br/>
        <w:t>The Central Bank of Turkmenistan is at the top of the banking sy-stem and establishes the rules that regulate the functioning of the sector in the country. The </w:t>
      </w:r>
      <w:hyperlink r:id="rId690" w:history="1">
        <w:r w:rsidRPr="0068182D">
          <w:rPr>
            <w:rFonts w:ascii="Times New Roman" w:hAnsi="Times New Roman" w:cs="Times New Roman"/>
            <w:sz w:val="28"/>
            <w:szCs w:val="28"/>
            <w:lang w:val="en-US"/>
          </w:rPr>
          <w:t>commercial banks</w:t>
        </w:r>
      </w:hyperlink>
      <w:r w:rsidRPr="0068182D">
        <w:rPr>
          <w:rFonts w:ascii="Times New Roman" w:hAnsi="Times New Roman" w:cs="Times New Roman"/>
          <w:sz w:val="28"/>
          <w:szCs w:val="28"/>
          <w:lang w:val="en-US"/>
        </w:rPr>
        <w:t> prevalently carry on the function of running financial relations between private companies and the state. They can be divided into state-owned and joint-stock com-panies. The first ones utilize exclusively public capital and are prefer-red by the state for its banking operations, while the private banks utilize essentially private capitals, even if some shares can be owned by the state itself. The </w:t>
      </w:r>
      <w:hyperlink r:id="rId691" w:history="1">
        <w:r w:rsidRPr="0068182D">
          <w:rPr>
            <w:rFonts w:ascii="Times New Roman" w:hAnsi="Times New Roman" w:cs="Times New Roman"/>
            <w:sz w:val="28"/>
            <w:szCs w:val="28"/>
            <w:lang w:val="en-US"/>
          </w:rPr>
          <w:t>commercial banks</w:t>
        </w:r>
      </w:hyperlink>
      <w:r w:rsidRPr="0068182D">
        <w:rPr>
          <w:rFonts w:ascii="Times New Roman" w:hAnsi="Times New Roman" w:cs="Times New Roman"/>
          <w:sz w:val="28"/>
          <w:szCs w:val="28"/>
          <w:lang w:val="en-US"/>
        </w:rPr>
        <w:t>operating in Turkmenistan are at the moment altogether thirteen, while the presence of </w:t>
      </w:r>
      <w:hyperlink r:id="rId692" w:history="1">
        <w:r w:rsidRPr="0068182D">
          <w:rPr>
            <w:rFonts w:ascii="Times New Roman" w:hAnsi="Times New Roman" w:cs="Times New Roman"/>
            <w:sz w:val="28"/>
            <w:szCs w:val="28"/>
            <w:lang w:val="en-US"/>
          </w:rPr>
          <w:t>foreign banks</w:t>
        </w:r>
      </w:hyperlink>
      <w:r w:rsidRPr="0068182D">
        <w:rPr>
          <w:rFonts w:ascii="Times New Roman" w:hAnsi="Times New Roman" w:cs="Times New Roman"/>
          <w:sz w:val="28"/>
          <w:szCs w:val="28"/>
          <w:lang w:val="en-US"/>
        </w:rPr>
        <w:t> is restricted to the presence of a Pakistani credit institution and of a representative body of Deutsche Bank. The national</w:t>
      </w:r>
      <w:hyperlink r:id="rId693" w:history="1">
        <w:r w:rsidRPr="0068182D">
          <w:rPr>
            <w:rFonts w:ascii="Times New Roman" w:hAnsi="Times New Roman" w:cs="Times New Roman"/>
            <w:sz w:val="28"/>
            <w:szCs w:val="28"/>
            <w:lang w:val="en-US"/>
          </w:rPr>
          <w:t>com-mercial banks</w:t>
        </w:r>
      </w:hyperlink>
      <w:r w:rsidRPr="0068182D">
        <w:rPr>
          <w:rFonts w:ascii="Times New Roman" w:hAnsi="Times New Roman" w:cs="Times New Roman"/>
          <w:sz w:val="28"/>
          <w:szCs w:val="28"/>
          <w:lang w:val="en-US"/>
        </w:rPr>
        <w:t> and the </w:t>
      </w:r>
      <w:hyperlink r:id="rId694" w:history="1">
        <w:r w:rsidRPr="0068182D">
          <w:rPr>
            <w:rFonts w:ascii="Times New Roman" w:hAnsi="Times New Roman" w:cs="Times New Roman"/>
            <w:sz w:val="28"/>
            <w:szCs w:val="28"/>
            <w:lang w:val="en-US"/>
          </w:rPr>
          <w:t>foreign banks</w:t>
        </w:r>
      </w:hyperlink>
      <w:r w:rsidRPr="0068182D">
        <w:rPr>
          <w:rFonts w:ascii="Times New Roman" w:hAnsi="Times New Roman" w:cs="Times New Roman"/>
          <w:sz w:val="28"/>
          <w:szCs w:val="28"/>
          <w:lang w:val="en-US"/>
        </w:rPr>
        <w:t> operating at the moment in the country are listed in the special Tables.</w:t>
      </w:r>
    </w:p>
    <w:p w:rsidR="004379E3" w:rsidRPr="0068182D" w:rsidRDefault="004379E3" w:rsidP="00C40532">
      <w:pPr>
        <w:shd w:val="clear" w:color="auto" w:fill="FFFFFF"/>
        <w:spacing w:after="0" w:line="240" w:lineRule="auto"/>
        <w:ind w:firstLine="567"/>
        <w:jc w:val="both"/>
        <w:rPr>
          <w:rFonts w:ascii="Times New Roman" w:hAnsi="Times New Roman" w:cs="Times New Roman"/>
          <w:sz w:val="28"/>
          <w:szCs w:val="28"/>
          <w:lang w:val="en-US"/>
        </w:rPr>
      </w:pPr>
      <w:r w:rsidRPr="0068182D">
        <w:rPr>
          <w:rFonts w:ascii="Times New Roman" w:hAnsi="Times New Roman" w:cs="Times New Roman"/>
          <w:sz w:val="28"/>
          <w:szCs w:val="28"/>
          <w:lang w:val="en-US"/>
        </w:rPr>
        <w:t>From a practical point of view banks last years have considerably widened the range of services offered to customers, including among them money transfers by swift and the utilize of the main interna-tional credit cards.</w:t>
      </w:r>
    </w:p>
    <w:p w:rsidR="004379E3" w:rsidRPr="0068182D" w:rsidRDefault="004379E3" w:rsidP="00C40532">
      <w:pPr>
        <w:shd w:val="clear" w:color="auto" w:fill="FFFFFF"/>
        <w:spacing w:after="0" w:line="240" w:lineRule="auto"/>
        <w:ind w:firstLine="567"/>
        <w:jc w:val="both"/>
        <w:rPr>
          <w:rFonts w:ascii="Times New Roman" w:hAnsi="Times New Roman" w:cs="Times New Roman"/>
          <w:b/>
          <w:bCs/>
          <w:color w:val="CC3300"/>
          <w:sz w:val="28"/>
          <w:szCs w:val="28"/>
          <w:lang w:val="en-US"/>
        </w:rPr>
      </w:pPr>
    </w:p>
    <w:p w:rsidR="00E576A5" w:rsidRPr="0068182D" w:rsidRDefault="00E576A5" w:rsidP="00E576A5">
      <w:pPr>
        <w:pStyle w:val="a4"/>
        <w:shd w:val="clear" w:color="auto" w:fill="FFFFFF"/>
        <w:tabs>
          <w:tab w:val="left" w:pos="851"/>
        </w:tabs>
        <w:spacing w:after="0" w:line="240" w:lineRule="auto"/>
        <w:ind w:left="567"/>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Control questions</w:t>
      </w:r>
    </w:p>
    <w:p w:rsidR="00E576A5" w:rsidRPr="0068182D" w:rsidRDefault="00E576A5" w:rsidP="000537F4">
      <w:pPr>
        <w:pStyle w:val="a4"/>
        <w:numPr>
          <w:ilvl w:val="0"/>
          <w:numId w:val="48"/>
        </w:numPr>
        <w:shd w:val="clear" w:color="auto" w:fill="FFFFFF"/>
        <w:tabs>
          <w:tab w:val="left" w:pos="851"/>
        </w:tabs>
        <w:spacing w:after="0" w:line="240" w:lineRule="auto"/>
        <w:ind w:left="0" w:firstLine="567"/>
        <w:jc w:val="both"/>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Description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the financial 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Uzbekistan.</w:t>
      </w:r>
    </w:p>
    <w:p w:rsidR="00E576A5" w:rsidRPr="0068182D" w:rsidRDefault="00E576A5" w:rsidP="000537F4">
      <w:pPr>
        <w:pStyle w:val="a4"/>
        <w:numPr>
          <w:ilvl w:val="0"/>
          <w:numId w:val="48"/>
        </w:numPr>
        <w:shd w:val="clear" w:color="auto" w:fill="FFFFFF"/>
        <w:tabs>
          <w:tab w:val="left" w:pos="851"/>
        </w:tabs>
        <w:spacing w:after="0" w:line="240" w:lineRule="auto"/>
        <w:ind w:left="0" w:firstLine="567"/>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composition of the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financial 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Kyrgyzstan</w:t>
      </w:r>
      <w:r w:rsidRPr="0068182D">
        <w:rPr>
          <w:rFonts w:ascii="Times New Roman" w:hAnsi="Times New Roman" w:cs="Times New Roman"/>
          <w:sz w:val="28"/>
          <w:szCs w:val="28"/>
          <w:lang w:val="en-US"/>
        </w:rPr>
        <w:t>.</w:t>
      </w:r>
    </w:p>
    <w:p w:rsidR="00E576A5" w:rsidRPr="0068182D" w:rsidRDefault="00E576A5" w:rsidP="000537F4">
      <w:pPr>
        <w:pStyle w:val="a4"/>
        <w:numPr>
          <w:ilvl w:val="0"/>
          <w:numId w:val="48"/>
        </w:numPr>
        <w:shd w:val="clear" w:color="auto" w:fill="FFFFFF"/>
        <w:tabs>
          <w:tab w:val="left" w:pos="851"/>
        </w:tabs>
        <w:spacing w:after="0" w:line="240" w:lineRule="auto"/>
        <w:ind w:left="0" w:firstLine="567"/>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financial 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Turkmenistan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at the current stage</w:t>
      </w:r>
      <w:r w:rsidRPr="0068182D">
        <w:rPr>
          <w:rFonts w:ascii="Times New Roman" w:hAnsi="Times New Roman" w:cs="Times New Roman"/>
          <w:sz w:val="28"/>
          <w:szCs w:val="28"/>
          <w:lang w:val="en-US"/>
        </w:rPr>
        <w:t>.</w:t>
      </w:r>
    </w:p>
    <w:p w:rsidR="00E576A5" w:rsidRPr="0068182D" w:rsidRDefault="00E576A5" w:rsidP="000537F4">
      <w:pPr>
        <w:pStyle w:val="a4"/>
        <w:numPr>
          <w:ilvl w:val="0"/>
          <w:numId w:val="48"/>
        </w:numPr>
        <w:shd w:val="clear" w:color="auto" w:fill="FFFFFF"/>
        <w:tabs>
          <w:tab w:val="left" w:pos="851"/>
        </w:tabs>
        <w:spacing w:after="0" w:line="240" w:lineRule="auto"/>
        <w:ind w:left="0" w:firstLine="567"/>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Specifics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taxation in the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Central Asian republics</w:t>
      </w:r>
      <w:r w:rsidRPr="0068182D">
        <w:rPr>
          <w:rFonts w:ascii="Times New Roman" w:hAnsi="Times New Roman" w:cs="Times New Roman"/>
          <w:sz w:val="28"/>
          <w:szCs w:val="28"/>
          <w:lang w:val="en-US"/>
        </w:rPr>
        <w:t>.</w:t>
      </w:r>
    </w:p>
    <w:p w:rsidR="00E576A5" w:rsidRPr="0068182D" w:rsidRDefault="00E576A5" w:rsidP="000537F4">
      <w:pPr>
        <w:pStyle w:val="a4"/>
        <w:numPr>
          <w:ilvl w:val="0"/>
          <w:numId w:val="48"/>
        </w:numPr>
        <w:shd w:val="clear" w:color="auto" w:fill="FFFFFF"/>
        <w:tabs>
          <w:tab w:val="left" w:pos="851"/>
        </w:tabs>
        <w:spacing w:after="0" w:line="240" w:lineRule="auto"/>
        <w:ind w:left="0" w:firstLine="567"/>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The composition 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characteristics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income 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expenditures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the state budget</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Uzbekistan.</w:t>
      </w:r>
    </w:p>
    <w:p w:rsidR="00E576A5" w:rsidRPr="0068182D" w:rsidRDefault="00E576A5" w:rsidP="000537F4">
      <w:pPr>
        <w:pStyle w:val="a4"/>
        <w:numPr>
          <w:ilvl w:val="0"/>
          <w:numId w:val="48"/>
        </w:numPr>
        <w:shd w:val="clear" w:color="auto" w:fill="FFFFFF"/>
        <w:tabs>
          <w:tab w:val="left" w:pos="851"/>
        </w:tabs>
        <w:spacing w:after="0" w:line="240" w:lineRule="auto"/>
        <w:ind w:left="0" w:firstLine="567"/>
        <w:jc w:val="both"/>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Features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budgetary system</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 Kyrgyzstan.</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state budget</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and its structure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Turkmenistan.</w:t>
      </w:r>
    </w:p>
    <w:p w:rsidR="004379E3" w:rsidRPr="0068182D" w:rsidRDefault="004379E3" w:rsidP="00C40532">
      <w:pPr>
        <w:spacing w:after="0" w:line="240" w:lineRule="auto"/>
        <w:ind w:firstLine="709"/>
        <w:jc w:val="both"/>
        <w:rPr>
          <w:rFonts w:ascii="Times New Roman" w:hAnsi="Times New Roman" w:cs="Times New Roman"/>
          <w:sz w:val="28"/>
          <w:szCs w:val="28"/>
          <w:lang w:val="en-US"/>
        </w:rPr>
      </w:pPr>
    </w:p>
    <w:p w:rsidR="00386344" w:rsidRPr="0068182D" w:rsidRDefault="004379E3" w:rsidP="00C40532">
      <w:pPr>
        <w:spacing w:after="0" w:line="240" w:lineRule="auto"/>
        <w:ind w:firstLine="709"/>
        <w:rPr>
          <w:rStyle w:val="hps"/>
          <w:rFonts w:ascii="Times New Roman" w:hAnsi="Times New Roman" w:cs="Times New Roman"/>
          <w:sz w:val="28"/>
          <w:szCs w:val="28"/>
          <w:lang w:val="en-US"/>
        </w:rPr>
      </w:pPr>
      <w:r w:rsidRPr="0068182D">
        <w:rPr>
          <w:rStyle w:val="hps"/>
          <w:rFonts w:ascii="Times New Roman" w:hAnsi="Times New Roman" w:cs="Times New Roman"/>
          <w:b/>
          <w:sz w:val="28"/>
          <w:szCs w:val="28"/>
          <w:lang w:val="en-US"/>
        </w:rPr>
        <w:t>Theme</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15.</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Characteristics of some</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developed countries,</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financial system</w:t>
      </w:r>
      <w:r w:rsidRPr="0068182D">
        <w:rPr>
          <w:rStyle w:val="hps"/>
          <w:rFonts w:ascii="Times New Roman" w:hAnsi="Times New Roman" w:cs="Times New Roman"/>
          <w:b/>
          <w:sz w:val="28"/>
          <w:szCs w:val="28"/>
          <w:lang w:val="en-US"/>
        </w:rPr>
        <w:br/>
      </w:r>
    </w:p>
    <w:p w:rsidR="004379E3" w:rsidRPr="0068182D" w:rsidRDefault="004379E3" w:rsidP="00386344">
      <w:pPr>
        <w:spacing w:after="0" w:line="240" w:lineRule="auto"/>
        <w:rPr>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1.</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financial system</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economic development.</w:t>
      </w:r>
      <w:r w:rsidRPr="0068182D">
        <w:rPr>
          <w:rFonts w:ascii="Times New Roman" w:eastAsia="Times New Roman" w:hAnsi="Times New Roman" w:cs="Times New Roman"/>
          <w:b/>
          <w:sz w:val="28"/>
          <w:szCs w:val="28"/>
          <w:lang w:val="en-US"/>
        </w:rPr>
        <w:br/>
      </w:r>
      <w:r w:rsidRPr="0068182D">
        <w:rPr>
          <w:rStyle w:val="hps"/>
          <w:rFonts w:ascii="Times New Roman" w:hAnsi="Times New Roman" w:cs="Times New Roman"/>
          <w:b/>
          <w:sz w:val="28"/>
          <w:szCs w:val="28"/>
          <w:lang w:val="en-US"/>
        </w:rPr>
        <w:t>2. Characteristics of</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units</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financial system</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developed countries</w:t>
      </w:r>
      <w:r w:rsidRPr="0068182D">
        <w:rPr>
          <w:rFonts w:ascii="Times New Roman" w:eastAsia="Times New Roman" w:hAnsi="Times New Roman" w:cs="Times New Roman"/>
          <w:b/>
          <w:sz w:val="28"/>
          <w:szCs w:val="28"/>
          <w:lang w:val="en-US"/>
        </w:rPr>
        <w:t>.</w:t>
      </w:r>
    </w:p>
    <w:p w:rsidR="004379E3" w:rsidRPr="0068182D" w:rsidRDefault="004379E3" w:rsidP="00C40532">
      <w:pPr>
        <w:spacing w:after="0" w:line="240" w:lineRule="auto"/>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3.</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Features</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Finance</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developed countries.</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place and role</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finances of public</w:t>
      </w:r>
      <w:r w:rsidRPr="0068182D">
        <w:rPr>
          <w:rFonts w:ascii="Times New Roman" w:eastAsia="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enterprises</w:t>
      </w:r>
    </w:p>
    <w:p w:rsidR="004379E3" w:rsidRPr="0068182D" w:rsidRDefault="004379E3" w:rsidP="00C40532">
      <w:pPr>
        <w:spacing w:after="0" w:line="240" w:lineRule="auto"/>
        <w:rPr>
          <w:rStyle w:val="hps"/>
          <w:rFonts w:ascii="Times New Roman" w:hAnsi="Times New Roman" w:cs="Times New Roman"/>
          <w:b/>
          <w:sz w:val="28"/>
          <w:szCs w:val="28"/>
          <w:lang w:val="en-US"/>
        </w:rPr>
      </w:pPr>
      <w:r w:rsidRPr="0068182D">
        <w:rPr>
          <w:rStyle w:val="hps"/>
          <w:rFonts w:ascii="Times New Roman" w:hAnsi="Times New Roman" w:cs="Times New Roman"/>
          <w:b/>
          <w:sz w:val="28"/>
          <w:szCs w:val="28"/>
          <w:lang w:val="en-US"/>
        </w:rPr>
        <w:t>4.</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nature 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value of</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the state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budget</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and</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its structure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characterization</w:t>
      </w:r>
      <w:r w:rsidRPr="0068182D">
        <w:rPr>
          <w:rFonts w:ascii="Times New Roman" w:hAnsi="Times New Roman" w:cs="Times New Roman"/>
          <w:b/>
          <w:sz w:val="28"/>
          <w:szCs w:val="28"/>
          <w:lang w:val="en-US"/>
        </w:rPr>
        <w:br/>
      </w:r>
      <w:r w:rsidRPr="0068182D">
        <w:rPr>
          <w:rStyle w:val="hps"/>
          <w:rFonts w:ascii="Times New Roman" w:hAnsi="Times New Roman" w:cs="Times New Roman"/>
          <w:b/>
          <w:sz w:val="28"/>
          <w:szCs w:val="28"/>
          <w:lang w:val="en-US"/>
        </w:rPr>
        <w:t>5.</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Features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tax system</w:t>
      </w:r>
      <w:r w:rsidRPr="0068182D">
        <w:rPr>
          <w:rFonts w:ascii="Times New Roman" w:hAnsi="Times New Roman" w:cs="Times New Roman"/>
          <w:b/>
          <w:sz w:val="28"/>
          <w:szCs w:val="28"/>
          <w:lang w:val="en-US"/>
        </w:rPr>
        <w:br/>
      </w:r>
      <w:r w:rsidRPr="0068182D">
        <w:rPr>
          <w:rStyle w:val="hps"/>
          <w:rFonts w:ascii="Times New Roman" w:hAnsi="Times New Roman" w:cs="Times New Roman"/>
          <w:b/>
          <w:sz w:val="28"/>
          <w:szCs w:val="28"/>
          <w:lang w:val="en-US"/>
        </w:rPr>
        <w:t>6. Evaluation</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World Bank</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on the</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developed countries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problems</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of the financial system</w:t>
      </w:r>
      <w:r w:rsidRPr="0068182D">
        <w:rPr>
          <w:rFonts w:ascii="Times New Roman" w:hAnsi="Times New Roman" w:cs="Times New Roman"/>
          <w:b/>
          <w:sz w:val="28"/>
          <w:szCs w:val="28"/>
          <w:lang w:val="en-US"/>
        </w:rPr>
        <w:t xml:space="preserve"> </w:t>
      </w:r>
      <w:r w:rsidRPr="0068182D">
        <w:rPr>
          <w:rStyle w:val="hps"/>
          <w:rFonts w:ascii="Times New Roman" w:hAnsi="Times New Roman" w:cs="Times New Roman"/>
          <w:b/>
          <w:sz w:val="28"/>
          <w:szCs w:val="28"/>
          <w:lang w:val="en-US"/>
        </w:rPr>
        <w:t>in developed countries</w:t>
      </w:r>
    </w:p>
    <w:p w:rsidR="004379E3" w:rsidRPr="0068182D" w:rsidRDefault="004379E3" w:rsidP="00C40532">
      <w:pPr>
        <w:tabs>
          <w:tab w:val="left" w:pos="1021"/>
        </w:tabs>
        <w:spacing w:after="0" w:line="240" w:lineRule="auto"/>
        <w:ind w:firstLine="709"/>
        <w:rPr>
          <w:rStyle w:val="hps"/>
          <w:rFonts w:ascii="Times New Roman" w:hAnsi="Times New Roman" w:cs="Times New Roman"/>
          <w:sz w:val="28"/>
          <w:szCs w:val="28"/>
          <w:lang w:val="en-US"/>
        </w:rPr>
      </w:pPr>
    </w:p>
    <w:p w:rsidR="004379E3" w:rsidRPr="0068182D" w:rsidRDefault="004379E3" w:rsidP="00C40532">
      <w:pPr>
        <w:shd w:val="clear" w:color="auto" w:fill="FFFFFF"/>
        <w:spacing w:after="0" w:line="240" w:lineRule="auto"/>
        <w:ind w:firstLine="709"/>
        <w:jc w:val="both"/>
        <w:textAlignment w:val="baseline"/>
        <w:outlineLvl w:val="1"/>
        <w:rPr>
          <w:rFonts w:ascii="Times New Roman" w:eastAsia="Times New Roman" w:hAnsi="Times New Roman" w:cs="Times New Roman"/>
          <w:b/>
          <w:bCs/>
          <w:sz w:val="28"/>
          <w:szCs w:val="28"/>
          <w:lang w:val="en-US"/>
        </w:rPr>
      </w:pPr>
      <w:r w:rsidRPr="0068182D">
        <w:rPr>
          <w:rFonts w:ascii="Times New Roman" w:eastAsia="Times New Roman" w:hAnsi="Times New Roman" w:cs="Times New Roman"/>
          <w:b/>
          <w:bCs/>
          <w:sz w:val="28"/>
          <w:szCs w:val="28"/>
          <w:lang w:val="en-US"/>
        </w:rPr>
        <w:t>Relationship between financial system and economic development</w:t>
      </w:r>
    </w:p>
    <w:p w:rsidR="004379E3" w:rsidRPr="0068182D" w:rsidRDefault="004379E3" w:rsidP="00C40532">
      <w:pPr>
        <w:shd w:val="clear" w:color="auto" w:fill="FFFFFF"/>
        <w:spacing w:after="0" w:line="240" w:lineRule="auto"/>
        <w:ind w:firstLine="709"/>
        <w:jc w:val="both"/>
        <w:textAlignment w:val="baseline"/>
        <w:rPr>
          <w:rFonts w:ascii="Times New Roman" w:eastAsia="Times New Roman" w:hAnsi="Times New Roman" w:cs="Times New Roman"/>
          <w:sz w:val="28"/>
          <w:szCs w:val="28"/>
          <w:lang w:val="en-US"/>
        </w:rPr>
      </w:pPr>
      <w:r w:rsidRPr="0068182D">
        <w:rPr>
          <w:rFonts w:ascii="Times New Roman" w:eastAsia="Times New Roman" w:hAnsi="Times New Roman" w:cs="Times New Roman"/>
          <w:sz w:val="28"/>
          <w:szCs w:val="28"/>
          <w:lang w:val="en-US"/>
        </w:rPr>
        <w:t>The development of any country depends on the economic growth the country achieves over a period of time. Economic growth deals about investment and production and also the extent of Gross Domestic Product in a country. Only when this grows, the people will experience growth in the form of improved standard of living, namely economic development.</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The following are the</w:t>
      </w:r>
      <w:r w:rsidRPr="0068182D">
        <w:rPr>
          <w:rStyle w:val="apple-converted-space"/>
          <w:b/>
          <w:bCs/>
          <w:sz w:val="28"/>
          <w:szCs w:val="28"/>
          <w:bdr w:val="none" w:sz="0" w:space="0" w:color="auto" w:frame="1"/>
          <w:lang w:val="en-US"/>
        </w:rPr>
        <w:t> </w:t>
      </w:r>
      <w:r w:rsidRPr="0068182D">
        <w:rPr>
          <w:rStyle w:val="a3"/>
          <w:sz w:val="28"/>
          <w:szCs w:val="28"/>
          <w:bdr w:val="none" w:sz="0" w:space="0" w:color="auto" w:frame="1"/>
          <w:lang w:val="en-US"/>
        </w:rPr>
        <w:t>roles of financial system</w:t>
      </w:r>
      <w:r w:rsidRPr="0068182D">
        <w:rPr>
          <w:rStyle w:val="apple-converted-space"/>
          <w:sz w:val="28"/>
          <w:szCs w:val="28"/>
          <w:lang w:val="en-US"/>
        </w:rPr>
        <w:t> </w:t>
      </w:r>
      <w:r w:rsidRPr="0068182D">
        <w:rPr>
          <w:sz w:val="28"/>
          <w:szCs w:val="28"/>
          <w:lang w:val="en-US"/>
        </w:rPr>
        <w:t>in the economic development of a country.</w:t>
      </w:r>
    </w:p>
    <w:p w:rsidR="004379E3" w:rsidRPr="0068182D" w:rsidRDefault="004379E3" w:rsidP="00C40532">
      <w:pPr>
        <w:pStyle w:val="3"/>
        <w:shd w:val="clear" w:color="auto" w:fill="FFFFFF"/>
        <w:spacing w:before="0" w:line="240" w:lineRule="auto"/>
        <w:ind w:firstLine="709"/>
        <w:jc w:val="both"/>
        <w:textAlignment w:val="baseline"/>
        <w:rPr>
          <w:rFonts w:ascii="Times New Roman" w:hAnsi="Times New Roman" w:cs="Times New Roman"/>
          <w:color w:val="auto"/>
          <w:sz w:val="28"/>
          <w:szCs w:val="28"/>
          <w:lang w:val="en-US"/>
        </w:rPr>
      </w:pPr>
      <w:r w:rsidRPr="0068182D">
        <w:rPr>
          <w:rFonts w:ascii="Times New Roman" w:hAnsi="Times New Roman" w:cs="Times New Roman"/>
          <w:color w:val="auto"/>
          <w:sz w:val="28"/>
          <w:szCs w:val="28"/>
          <w:lang w:val="en-US"/>
        </w:rPr>
        <w:t>Savings-investment relationship</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To attain economic development, a country needs more investment and production. This can happen only when there is a facility for savings. As, such savings are channelized to productive resources in the form of investment. Here, the role of financial institutions is important, since they induce the public to save by offering attractive interest rates. These savings are channelized by lending to various business concerns which are involved in production and distribution.</w:t>
      </w:r>
    </w:p>
    <w:p w:rsidR="004379E3" w:rsidRPr="0068182D" w:rsidRDefault="004379E3" w:rsidP="00C40532">
      <w:pPr>
        <w:pStyle w:val="3"/>
        <w:shd w:val="clear" w:color="auto" w:fill="FFFFFF"/>
        <w:spacing w:before="0" w:line="240" w:lineRule="auto"/>
        <w:ind w:firstLine="709"/>
        <w:jc w:val="both"/>
        <w:textAlignment w:val="baseline"/>
        <w:rPr>
          <w:rFonts w:ascii="Times New Roman" w:hAnsi="Times New Roman" w:cs="Times New Roman"/>
          <w:color w:val="auto"/>
          <w:sz w:val="28"/>
          <w:szCs w:val="28"/>
          <w:lang w:val="en-US"/>
        </w:rPr>
      </w:pPr>
      <w:r w:rsidRPr="0068182D">
        <w:rPr>
          <w:rFonts w:ascii="Times New Roman" w:hAnsi="Times New Roman" w:cs="Times New Roman"/>
          <w:color w:val="auto"/>
          <w:sz w:val="28"/>
          <w:szCs w:val="28"/>
          <w:lang w:val="en-US"/>
        </w:rPr>
        <w:t>Financial systems help in growth of capital market</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Any business requires two types of capital namely, fixed capital and working capital. Fixed capital is used for investment in fixed assets, like plant and machinery. While working capital is used for the day-to-day running of business. It is also used for purchase of raw materials and converting them into finished products.</w:t>
      </w:r>
    </w:p>
    <w:p w:rsidR="004379E3" w:rsidRPr="0068182D" w:rsidRDefault="004379E3" w:rsidP="000537F4">
      <w:pPr>
        <w:numPr>
          <w:ilvl w:val="0"/>
          <w:numId w:val="32"/>
        </w:numPr>
        <w:shd w:val="clear" w:color="auto" w:fill="FFFFFF"/>
        <w:spacing w:after="0" w:line="240" w:lineRule="auto"/>
        <w:ind w:left="0" w:firstLine="709"/>
        <w:jc w:val="both"/>
        <w:textAlignment w:val="baseline"/>
        <w:rPr>
          <w:rFonts w:ascii="Times New Roman" w:hAnsi="Times New Roman" w:cs="Times New Roman"/>
          <w:sz w:val="28"/>
          <w:szCs w:val="28"/>
          <w:lang w:val="en-US"/>
        </w:rPr>
      </w:pPr>
      <w:r w:rsidRPr="0068182D">
        <w:rPr>
          <w:rStyle w:val="a3"/>
          <w:rFonts w:ascii="Times New Roman" w:hAnsi="Times New Roman" w:cs="Times New Roman"/>
          <w:sz w:val="28"/>
          <w:szCs w:val="28"/>
          <w:bdr w:val="none" w:sz="0" w:space="0" w:color="auto" w:frame="1"/>
          <w:lang w:val="en-US"/>
        </w:rPr>
        <w:t>Fixed capital</w:t>
      </w:r>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is raised through capital market by the</w:t>
      </w:r>
      <w:r w:rsidRPr="0068182D">
        <w:rPr>
          <w:rStyle w:val="apple-converted-space"/>
          <w:rFonts w:ascii="Times New Roman" w:hAnsi="Times New Roman" w:cs="Times New Roman"/>
          <w:sz w:val="28"/>
          <w:szCs w:val="28"/>
          <w:lang w:val="en-US"/>
        </w:rPr>
        <w:t> </w:t>
      </w:r>
      <w:hyperlink r:id="rId695" w:history="1">
        <w:r w:rsidRPr="0068182D">
          <w:rPr>
            <w:rStyle w:val="a5"/>
            <w:rFonts w:ascii="Times New Roman" w:hAnsi="Times New Roman" w:cs="Times New Roman"/>
            <w:color w:val="auto"/>
            <w:sz w:val="28"/>
            <w:szCs w:val="28"/>
            <w:u w:val="none"/>
            <w:bdr w:val="none" w:sz="0" w:space="0" w:color="auto" w:frame="1"/>
            <w:lang w:val="en-US"/>
          </w:rPr>
          <w:t>issue of debentures</w:t>
        </w:r>
      </w:hyperlink>
      <w:r w:rsidRPr="0068182D">
        <w:rPr>
          <w:rStyle w:val="apple-converted-space"/>
          <w:rFonts w:ascii="Times New Roman" w:hAnsi="Times New Roman" w:cs="Times New Roman"/>
          <w:sz w:val="28"/>
          <w:szCs w:val="28"/>
          <w:lang w:val="en-US"/>
        </w:rPr>
        <w:t> </w:t>
      </w:r>
      <w:r w:rsidRPr="0068182D">
        <w:rPr>
          <w:rFonts w:ascii="Times New Roman" w:hAnsi="Times New Roman" w:cs="Times New Roman"/>
          <w:sz w:val="28"/>
          <w:szCs w:val="28"/>
          <w:lang w:val="en-US"/>
        </w:rPr>
        <w:t>and shares. Public and other financial institutions invest in them in order to get a good return with minimized risks.</w:t>
      </w:r>
    </w:p>
    <w:p w:rsidR="004379E3" w:rsidRPr="0068182D" w:rsidRDefault="004379E3" w:rsidP="000537F4">
      <w:pPr>
        <w:numPr>
          <w:ilvl w:val="0"/>
          <w:numId w:val="32"/>
        </w:numPr>
        <w:shd w:val="clear" w:color="auto" w:fill="FFFFFF"/>
        <w:spacing w:after="0" w:line="240" w:lineRule="auto"/>
        <w:ind w:left="0" w:firstLine="709"/>
        <w:jc w:val="both"/>
        <w:textAlignment w:val="baseline"/>
        <w:rPr>
          <w:rFonts w:ascii="Times New Roman" w:hAnsi="Times New Roman" w:cs="Times New Roman"/>
          <w:sz w:val="28"/>
          <w:szCs w:val="28"/>
          <w:lang w:val="en-US"/>
        </w:rPr>
      </w:pPr>
      <w:r w:rsidRPr="0068182D">
        <w:rPr>
          <w:rFonts w:ascii="Times New Roman" w:hAnsi="Times New Roman" w:cs="Times New Roman"/>
          <w:sz w:val="28"/>
          <w:szCs w:val="28"/>
          <w:lang w:val="en-US"/>
        </w:rPr>
        <w:t>For</w:t>
      </w:r>
      <w:r w:rsidRPr="0068182D">
        <w:rPr>
          <w:rStyle w:val="apple-converted-space"/>
          <w:rFonts w:ascii="Times New Roman" w:hAnsi="Times New Roman" w:cs="Times New Roman"/>
          <w:sz w:val="28"/>
          <w:szCs w:val="28"/>
          <w:lang w:val="en-US"/>
        </w:rPr>
        <w:t> </w:t>
      </w:r>
      <w:r w:rsidRPr="0068182D">
        <w:rPr>
          <w:rStyle w:val="a3"/>
          <w:rFonts w:ascii="Times New Roman" w:hAnsi="Times New Roman" w:cs="Times New Roman"/>
          <w:sz w:val="28"/>
          <w:szCs w:val="28"/>
          <w:bdr w:val="none" w:sz="0" w:space="0" w:color="auto" w:frame="1"/>
          <w:lang w:val="en-US"/>
        </w:rPr>
        <w:t>working capital</w:t>
      </w:r>
      <w:r w:rsidRPr="0068182D">
        <w:rPr>
          <w:rFonts w:ascii="Times New Roman" w:hAnsi="Times New Roman" w:cs="Times New Roman"/>
          <w:sz w:val="28"/>
          <w:szCs w:val="28"/>
          <w:lang w:val="en-US"/>
        </w:rPr>
        <w:t>, we have money market, where short-term loans could be raised by the businessmen through the issue of various credit instruments such as bills, promissory notes, etc.</w:t>
      </w:r>
    </w:p>
    <w:p w:rsidR="004379E3" w:rsidRPr="0068182D" w:rsidRDefault="00CD577A" w:rsidP="00C40532">
      <w:pPr>
        <w:pStyle w:val="a6"/>
        <w:shd w:val="clear" w:color="auto" w:fill="FFFFFF"/>
        <w:spacing w:before="0" w:beforeAutospacing="0" w:after="0" w:afterAutospacing="0"/>
        <w:ind w:firstLine="709"/>
        <w:jc w:val="both"/>
        <w:textAlignment w:val="baseline"/>
        <w:rPr>
          <w:sz w:val="28"/>
          <w:szCs w:val="28"/>
          <w:lang w:val="en-US"/>
        </w:rPr>
      </w:pPr>
      <w:hyperlink r:id="rId696" w:history="1">
        <w:r w:rsidR="004379E3" w:rsidRPr="0068182D">
          <w:rPr>
            <w:rStyle w:val="a5"/>
            <w:rFonts w:eastAsiaTheme="minorEastAsia"/>
            <w:color w:val="auto"/>
            <w:sz w:val="28"/>
            <w:szCs w:val="28"/>
            <w:u w:val="none"/>
            <w:bdr w:val="none" w:sz="0" w:space="0" w:color="auto" w:frame="1"/>
            <w:lang w:val="en-US"/>
          </w:rPr>
          <w:t>Foreign exchange market</w:t>
        </w:r>
      </w:hyperlink>
      <w:r w:rsidR="004379E3" w:rsidRPr="0068182D">
        <w:rPr>
          <w:rStyle w:val="apple-converted-space"/>
          <w:sz w:val="28"/>
          <w:szCs w:val="28"/>
          <w:lang w:val="en-US"/>
        </w:rPr>
        <w:t> </w:t>
      </w:r>
      <w:r w:rsidR="004379E3" w:rsidRPr="0068182D">
        <w:rPr>
          <w:sz w:val="28"/>
          <w:szCs w:val="28"/>
          <w:lang w:val="en-US"/>
        </w:rPr>
        <w:t>enables exporters and importers to receive and raise funds for settling transactions. It also enables banks to borrow from and lend to different types of customers in various foreign currencies. The market also provides opportunities for the banks to invest their short term idle funds to earn profits. Even governments are benefited as they can meet their foreign exchange requirements through this market.</w:t>
      </w:r>
    </w:p>
    <w:p w:rsidR="004379E3" w:rsidRPr="0068182D" w:rsidRDefault="004379E3" w:rsidP="00C40532">
      <w:pPr>
        <w:pStyle w:val="3"/>
        <w:shd w:val="clear" w:color="auto" w:fill="FFFFFF"/>
        <w:spacing w:before="0" w:line="240" w:lineRule="auto"/>
        <w:ind w:firstLine="709"/>
        <w:jc w:val="both"/>
        <w:textAlignment w:val="baseline"/>
        <w:rPr>
          <w:rFonts w:ascii="Times New Roman" w:hAnsi="Times New Roman" w:cs="Times New Roman"/>
          <w:color w:val="auto"/>
          <w:sz w:val="28"/>
          <w:szCs w:val="28"/>
          <w:lang w:val="en-US"/>
        </w:rPr>
      </w:pPr>
      <w:r w:rsidRPr="0068182D">
        <w:rPr>
          <w:rFonts w:ascii="Times New Roman" w:hAnsi="Times New Roman" w:cs="Times New Roman"/>
          <w:color w:val="auto"/>
          <w:sz w:val="28"/>
          <w:szCs w:val="28"/>
          <w:lang w:val="en-US"/>
        </w:rPr>
        <w:t>Government Securities market</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Financial system enables the state and central governments to raise both short-term and long-term funds through the issue of bills and bonds which carry attractive rates of interest along with tax concessions. The budgetary gap is filled only with the help of government securities market. Thus, the capital market,</w:t>
      </w:r>
      <w:r w:rsidRPr="0068182D">
        <w:rPr>
          <w:rStyle w:val="apple-converted-space"/>
          <w:sz w:val="28"/>
          <w:szCs w:val="28"/>
          <w:lang w:val="en-US"/>
        </w:rPr>
        <w:t> </w:t>
      </w:r>
      <w:hyperlink r:id="rId697" w:history="1">
        <w:r w:rsidRPr="0068182D">
          <w:rPr>
            <w:rStyle w:val="a5"/>
            <w:rFonts w:eastAsiaTheme="minorEastAsia"/>
            <w:color w:val="auto"/>
            <w:sz w:val="28"/>
            <w:szCs w:val="28"/>
            <w:u w:val="none"/>
            <w:bdr w:val="none" w:sz="0" w:space="0" w:color="auto" w:frame="1"/>
            <w:lang w:val="en-US"/>
          </w:rPr>
          <w:t>money market</w:t>
        </w:r>
      </w:hyperlink>
      <w:r w:rsidRPr="0068182D">
        <w:rPr>
          <w:rStyle w:val="apple-converted-space"/>
          <w:sz w:val="28"/>
          <w:szCs w:val="28"/>
          <w:lang w:val="en-US"/>
        </w:rPr>
        <w:t> </w:t>
      </w:r>
      <w:r w:rsidRPr="0068182D">
        <w:rPr>
          <w:sz w:val="28"/>
          <w:szCs w:val="28"/>
          <w:lang w:val="en-US"/>
        </w:rPr>
        <w:t>along with foreign exchange market and government securities market enable businessmen, industrialists as well as governments to meet their credit requirements. In this way, the development of the economy is ensured by the financial system.</w:t>
      </w:r>
    </w:p>
    <w:p w:rsidR="004379E3" w:rsidRPr="0068182D" w:rsidRDefault="004379E3" w:rsidP="00C40532">
      <w:pPr>
        <w:pStyle w:val="3"/>
        <w:shd w:val="clear" w:color="auto" w:fill="FFFFFF"/>
        <w:spacing w:before="0" w:line="240" w:lineRule="auto"/>
        <w:ind w:firstLine="709"/>
        <w:jc w:val="both"/>
        <w:textAlignment w:val="baseline"/>
        <w:rPr>
          <w:rFonts w:ascii="Times New Roman" w:hAnsi="Times New Roman" w:cs="Times New Roman"/>
          <w:color w:val="auto"/>
          <w:sz w:val="28"/>
          <w:szCs w:val="28"/>
          <w:lang w:val="en-US"/>
        </w:rPr>
      </w:pPr>
      <w:r w:rsidRPr="0068182D">
        <w:rPr>
          <w:rFonts w:ascii="Times New Roman" w:hAnsi="Times New Roman" w:cs="Times New Roman"/>
          <w:color w:val="auto"/>
          <w:sz w:val="28"/>
          <w:szCs w:val="28"/>
          <w:lang w:val="en-US"/>
        </w:rPr>
        <w:t>Financial system helps in Infrastructure and Growth</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Economic development of any country depends on the infrastructure facility available in the country. In the absence of key industries like coal, power and oil, development of other industries will be hampered. It is here that the</w:t>
      </w:r>
      <w:r w:rsidRPr="0068182D">
        <w:rPr>
          <w:rStyle w:val="apple-converted-space"/>
          <w:sz w:val="28"/>
          <w:szCs w:val="28"/>
          <w:lang w:val="en-US"/>
        </w:rPr>
        <w:t> </w:t>
      </w:r>
      <w:hyperlink r:id="rId698" w:history="1">
        <w:r w:rsidRPr="0068182D">
          <w:rPr>
            <w:rStyle w:val="a5"/>
            <w:rFonts w:eastAsiaTheme="minorEastAsia"/>
            <w:color w:val="auto"/>
            <w:sz w:val="28"/>
            <w:szCs w:val="28"/>
            <w:u w:val="none"/>
            <w:bdr w:val="none" w:sz="0" w:space="0" w:color="auto" w:frame="1"/>
            <w:lang w:val="en-US"/>
          </w:rPr>
          <w:t>financial services</w:t>
        </w:r>
      </w:hyperlink>
      <w:r w:rsidRPr="0068182D">
        <w:rPr>
          <w:rStyle w:val="apple-converted-space"/>
          <w:sz w:val="28"/>
          <w:szCs w:val="28"/>
          <w:lang w:val="en-US"/>
        </w:rPr>
        <w:t> </w:t>
      </w:r>
      <w:r w:rsidRPr="0068182D">
        <w:rPr>
          <w:sz w:val="28"/>
          <w:szCs w:val="28"/>
          <w:lang w:val="en-US"/>
        </w:rPr>
        <w:t>play a crucial role by providing funds for the growth of infrastructure industries. Private sector will find it difficult to raise the huge capital needed for setting up infrastructure industries. For a long time, infrastructure industries were started only by the government in India. But now, with the policy of economic liberalization, more private sector industries have come forward to start infrastructure industry. The Development Banks and the Merchant banks help in raising capital for these industries.</w:t>
      </w:r>
    </w:p>
    <w:p w:rsidR="004379E3" w:rsidRPr="0068182D" w:rsidRDefault="004379E3" w:rsidP="00C40532">
      <w:pPr>
        <w:pStyle w:val="3"/>
        <w:shd w:val="clear" w:color="auto" w:fill="FFFFFF"/>
        <w:spacing w:before="0" w:line="240" w:lineRule="auto"/>
        <w:ind w:firstLine="709"/>
        <w:jc w:val="both"/>
        <w:textAlignment w:val="baseline"/>
        <w:rPr>
          <w:rFonts w:ascii="Times New Roman" w:hAnsi="Times New Roman" w:cs="Times New Roman"/>
          <w:color w:val="auto"/>
          <w:sz w:val="28"/>
          <w:szCs w:val="28"/>
          <w:lang w:val="en-US"/>
        </w:rPr>
      </w:pPr>
      <w:r w:rsidRPr="0068182D">
        <w:rPr>
          <w:rFonts w:ascii="Times New Roman" w:hAnsi="Times New Roman" w:cs="Times New Roman"/>
          <w:color w:val="auto"/>
          <w:sz w:val="28"/>
          <w:szCs w:val="28"/>
          <w:lang w:val="en-US"/>
        </w:rPr>
        <w:t>Financial system helps in development of Trade</w:t>
      </w:r>
    </w:p>
    <w:p w:rsidR="004379E3" w:rsidRPr="0068182D" w:rsidRDefault="004379E3" w:rsidP="00C40532">
      <w:pPr>
        <w:pStyle w:val="a6"/>
        <w:shd w:val="clear" w:color="auto" w:fill="FFFFFF"/>
        <w:spacing w:before="0" w:beforeAutospacing="0" w:after="0" w:afterAutospacing="0"/>
        <w:ind w:firstLine="709"/>
        <w:jc w:val="both"/>
        <w:textAlignment w:val="baseline"/>
        <w:rPr>
          <w:sz w:val="28"/>
          <w:szCs w:val="28"/>
          <w:lang w:val="en-US"/>
        </w:rPr>
      </w:pPr>
      <w:r w:rsidRPr="0068182D">
        <w:rPr>
          <w:sz w:val="28"/>
          <w:szCs w:val="28"/>
          <w:lang w:val="en-US"/>
        </w:rPr>
        <w:t>The financial system helps in the promotion of both domestic and foreign trade. The financial institutions finance traders and the financial market helps in discounting financial instruments such as bills. Foreign trade is promoted due to per-shipment and post-shipment finance by commercial banks. They also issue Letter of Credit in favor of the importer. Thus, the precious foreign exchange is earned by the country because of the presence of financial system. The best part of the financial system is that the seller or the buyer do not meet each other and the documents are negotiated through the bank. In this manner, the financial system not only helps the traders but also various financial institutions. Some of the capital goods are sold through</w:t>
      </w:r>
      <w:r w:rsidRPr="0068182D">
        <w:rPr>
          <w:rStyle w:val="apple-converted-space"/>
          <w:sz w:val="28"/>
          <w:szCs w:val="28"/>
          <w:lang w:val="en-US"/>
        </w:rPr>
        <w:t> </w:t>
      </w:r>
      <w:hyperlink r:id="rId699" w:history="1">
        <w:r w:rsidRPr="0068182D">
          <w:rPr>
            <w:rStyle w:val="a5"/>
            <w:rFonts w:eastAsiaTheme="minorEastAsia"/>
            <w:color w:val="auto"/>
            <w:sz w:val="28"/>
            <w:szCs w:val="28"/>
            <w:u w:val="none"/>
            <w:bdr w:val="none" w:sz="0" w:space="0" w:color="auto" w:frame="1"/>
            <w:lang w:val="en-US"/>
          </w:rPr>
          <w:t>hire purchase and installment</w:t>
        </w:r>
      </w:hyperlink>
      <w:r w:rsidRPr="0068182D">
        <w:rPr>
          <w:rStyle w:val="apple-converted-space"/>
          <w:sz w:val="28"/>
          <w:szCs w:val="28"/>
          <w:lang w:val="en-US"/>
        </w:rPr>
        <w:t> </w:t>
      </w:r>
      <w:r w:rsidRPr="0068182D">
        <w:rPr>
          <w:sz w:val="28"/>
          <w:szCs w:val="28"/>
          <w:lang w:val="en-US"/>
        </w:rPr>
        <w:t>system, both in the domestic and foreign trade. As a result of all these, the growth of the country is speeded up.</w:t>
      </w:r>
    </w:p>
    <w:p w:rsidR="004379E3" w:rsidRPr="0068182D" w:rsidRDefault="004379E3" w:rsidP="00C40532">
      <w:pPr>
        <w:tabs>
          <w:tab w:val="left" w:pos="1021"/>
        </w:tabs>
        <w:spacing w:after="0" w:line="240" w:lineRule="auto"/>
        <w:ind w:firstLine="709"/>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ab/>
      </w:r>
    </w:p>
    <w:p w:rsidR="004379E3" w:rsidRPr="0068182D" w:rsidRDefault="004379E3" w:rsidP="00C40532">
      <w:pPr>
        <w:pStyle w:val="a6"/>
        <w:spacing w:before="0" w:beforeAutospacing="0" w:after="0" w:afterAutospacing="0"/>
        <w:ind w:firstLine="709"/>
        <w:rPr>
          <w:sz w:val="28"/>
          <w:szCs w:val="28"/>
          <w:lang w:val="en-US"/>
        </w:rPr>
      </w:pPr>
      <w:r w:rsidRPr="0068182D">
        <w:rPr>
          <w:sz w:val="28"/>
          <w:szCs w:val="28"/>
          <w:lang w:val="en-US"/>
        </w:rPr>
        <w:t>Hong Kong’s financial system is the best in the world for supporting economic competitiveness and growth, according to the World Economic Forum’s</w:t>
      </w:r>
      <w:r w:rsidRPr="0068182D">
        <w:rPr>
          <w:rStyle w:val="apple-converted-space"/>
          <w:sz w:val="28"/>
          <w:szCs w:val="28"/>
          <w:lang w:val="en-US"/>
        </w:rPr>
        <w:t> </w:t>
      </w:r>
      <w:hyperlink r:id="rId700" w:history="1">
        <w:r w:rsidRPr="0068182D">
          <w:rPr>
            <w:rStyle w:val="a5"/>
            <w:color w:val="auto"/>
            <w:sz w:val="28"/>
            <w:szCs w:val="28"/>
            <w:u w:val="none"/>
            <w:lang w:val="en-US"/>
          </w:rPr>
          <w:t>Global Competiveness Report 2014-2015</w:t>
        </w:r>
      </w:hyperlink>
      <w:r w:rsidRPr="0068182D">
        <w:rPr>
          <w:sz w:val="28"/>
          <w:szCs w:val="28"/>
          <w:lang w:val="en-US"/>
        </w:rPr>
        <w:t>.</w:t>
      </w:r>
    </w:p>
    <w:p w:rsidR="004379E3" w:rsidRPr="0068182D" w:rsidRDefault="004379E3" w:rsidP="00C40532">
      <w:pPr>
        <w:pStyle w:val="a6"/>
        <w:spacing w:before="0" w:beforeAutospacing="0" w:after="0" w:afterAutospacing="0"/>
        <w:ind w:firstLine="709"/>
        <w:rPr>
          <w:sz w:val="28"/>
          <w:szCs w:val="28"/>
          <w:lang w:val="en-US"/>
        </w:rPr>
      </w:pPr>
      <w:r w:rsidRPr="0068182D">
        <w:rPr>
          <w:sz w:val="28"/>
          <w:szCs w:val="28"/>
          <w:lang w:val="en-US"/>
        </w:rPr>
        <w:t>The report evaluates the level of development of 144 of the world’s financial systems, based on their efficiency and levels of trustworthiness and confidence, as part of its overall competitiveness ranking.</w:t>
      </w:r>
    </w:p>
    <w:p w:rsidR="004379E3" w:rsidRPr="0068182D" w:rsidRDefault="004379E3" w:rsidP="00C40532">
      <w:pPr>
        <w:spacing w:after="0" w:line="240" w:lineRule="auto"/>
        <w:ind w:firstLine="709"/>
        <w:rPr>
          <w:rFonts w:ascii="Times New Roman" w:hAnsi="Times New Roman" w:cs="Times New Roman"/>
          <w:sz w:val="28"/>
          <w:szCs w:val="28"/>
        </w:rPr>
      </w:pPr>
      <w:r w:rsidRPr="0068182D">
        <w:rPr>
          <w:rFonts w:ascii="Times New Roman" w:hAnsi="Times New Roman" w:cs="Times New Roman"/>
          <w:noProof/>
          <w:sz w:val="28"/>
          <w:szCs w:val="28"/>
        </w:rPr>
        <w:drawing>
          <wp:inline distT="0" distB="0" distL="0" distR="0">
            <wp:extent cx="3994825" cy="3993266"/>
            <wp:effectExtent l="19050" t="0" r="5675" b="0"/>
            <wp:docPr id="2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1" cstate="print"/>
                    <a:srcRect/>
                    <a:stretch>
                      <a:fillRect/>
                    </a:stretch>
                  </pic:blipFill>
                  <pic:spPr bwMode="auto">
                    <a:xfrm>
                      <a:off x="0" y="0"/>
                      <a:ext cx="3997289" cy="3995729"/>
                    </a:xfrm>
                    <a:prstGeom prst="rect">
                      <a:avLst/>
                    </a:prstGeom>
                    <a:noFill/>
                    <a:ln w="9525">
                      <a:noFill/>
                      <a:miter lim="800000"/>
                      <a:headEnd/>
                      <a:tailEnd/>
                    </a:ln>
                  </pic:spPr>
                </pic:pic>
              </a:graphicData>
            </a:graphic>
          </wp:inline>
        </w:drawing>
      </w:r>
    </w:p>
    <w:p w:rsidR="004379E3" w:rsidRPr="0068182D" w:rsidRDefault="004379E3" w:rsidP="00C40532">
      <w:pPr>
        <w:pStyle w:val="a6"/>
        <w:spacing w:before="0" w:beforeAutospacing="0" w:after="0" w:afterAutospacing="0"/>
        <w:ind w:firstLine="709"/>
        <w:jc w:val="both"/>
        <w:rPr>
          <w:sz w:val="28"/>
          <w:szCs w:val="28"/>
          <w:lang w:val="en-US"/>
        </w:rPr>
      </w:pPr>
      <w:r w:rsidRPr="0068182D">
        <w:rPr>
          <w:sz w:val="28"/>
          <w:szCs w:val="28"/>
          <w:lang w:val="en-US"/>
        </w:rPr>
        <w:t>The Asia-Pacific region performs strongly, with Singapore, New Zealand, Malaysia and Australia all appearing in the top 10 alongside Hong Kong.</w:t>
      </w:r>
    </w:p>
    <w:p w:rsidR="004379E3" w:rsidRPr="0068182D" w:rsidRDefault="004379E3" w:rsidP="00C40532">
      <w:pPr>
        <w:pStyle w:val="a6"/>
        <w:spacing w:before="0" w:beforeAutospacing="0" w:after="0" w:afterAutospacing="0"/>
        <w:ind w:firstLine="709"/>
        <w:jc w:val="both"/>
        <w:rPr>
          <w:sz w:val="28"/>
          <w:szCs w:val="28"/>
          <w:lang w:val="en-US"/>
        </w:rPr>
      </w:pPr>
      <w:r w:rsidRPr="0068182D">
        <w:rPr>
          <w:sz w:val="28"/>
          <w:szCs w:val="28"/>
          <w:lang w:val="en-US"/>
        </w:rPr>
        <w:t>Finland, South Africa, Canada, the US and Norway complete the ranking.</w:t>
      </w:r>
    </w:p>
    <w:p w:rsidR="004379E3" w:rsidRPr="0068182D" w:rsidRDefault="004379E3" w:rsidP="00C40532">
      <w:pPr>
        <w:pStyle w:val="a6"/>
        <w:spacing w:before="0" w:beforeAutospacing="0" w:after="0" w:afterAutospacing="0"/>
        <w:ind w:firstLine="709"/>
        <w:jc w:val="both"/>
        <w:rPr>
          <w:sz w:val="28"/>
          <w:szCs w:val="28"/>
          <w:lang w:val="en-US"/>
        </w:rPr>
      </w:pPr>
      <w:r w:rsidRPr="0068182D">
        <w:rPr>
          <w:sz w:val="28"/>
          <w:szCs w:val="28"/>
          <w:lang w:val="en-US"/>
        </w:rPr>
        <w:t>The data for this measure is taken from a</w:t>
      </w:r>
      <w:r w:rsidRPr="0068182D">
        <w:rPr>
          <w:rStyle w:val="apple-converted-space"/>
          <w:sz w:val="28"/>
          <w:szCs w:val="28"/>
          <w:lang w:val="en-US"/>
        </w:rPr>
        <w:t> </w:t>
      </w:r>
      <w:hyperlink r:id="rId702" w:history="1">
        <w:r w:rsidRPr="0068182D">
          <w:rPr>
            <w:rStyle w:val="a5"/>
            <w:color w:val="auto"/>
            <w:sz w:val="28"/>
            <w:szCs w:val="28"/>
            <w:u w:val="none"/>
            <w:lang w:val="en-US"/>
          </w:rPr>
          <w:t>number of sources</w:t>
        </w:r>
      </w:hyperlink>
      <w:r w:rsidRPr="0068182D">
        <w:rPr>
          <w:rStyle w:val="apple-converted-space"/>
          <w:sz w:val="28"/>
          <w:szCs w:val="28"/>
          <w:lang w:val="en-US"/>
        </w:rPr>
        <w:t> </w:t>
      </w:r>
      <w:r w:rsidRPr="0068182D">
        <w:rPr>
          <w:sz w:val="28"/>
          <w:szCs w:val="28"/>
          <w:lang w:val="en-US"/>
        </w:rPr>
        <w:t>including the World Economic Forum Executive Opinion Survey and the World Bank/International Finance Corporation’s Doing Business 2014: Understanding Regulations for Small and Medium-Size Enterprises report.</w:t>
      </w:r>
    </w:p>
    <w:p w:rsidR="004379E3" w:rsidRPr="0068182D" w:rsidRDefault="004379E3" w:rsidP="00C40532">
      <w:pPr>
        <w:spacing w:after="0" w:line="240" w:lineRule="auto"/>
        <w:ind w:firstLine="709"/>
        <w:rPr>
          <w:rFonts w:ascii="Times New Roman" w:hAnsi="Times New Roman" w:cs="Times New Roman"/>
          <w:sz w:val="28"/>
          <w:szCs w:val="28"/>
          <w:lang w:val="en-US"/>
        </w:rPr>
      </w:pPr>
    </w:p>
    <w:p w:rsidR="00E576A5" w:rsidRPr="0068182D" w:rsidRDefault="00E576A5" w:rsidP="00C40532">
      <w:pPr>
        <w:spacing w:after="0" w:line="240" w:lineRule="auto"/>
        <w:ind w:firstLine="709"/>
        <w:rPr>
          <w:rFonts w:ascii="Times New Roman" w:hAnsi="Times New Roman" w:cs="Times New Roman"/>
          <w:sz w:val="28"/>
          <w:szCs w:val="28"/>
          <w:lang w:val="en-US"/>
        </w:rPr>
      </w:pPr>
      <w:r w:rsidRPr="0068182D">
        <w:rPr>
          <w:rFonts w:ascii="Times New Roman" w:hAnsi="Times New Roman" w:cs="Times New Roman"/>
          <w:sz w:val="28"/>
          <w:szCs w:val="28"/>
          <w:lang w:val="en-US"/>
        </w:rPr>
        <w:t>Control questions</w:t>
      </w:r>
    </w:p>
    <w:p w:rsidR="00E576A5" w:rsidRPr="0068182D" w:rsidRDefault="00E576A5" w:rsidP="00E576A5">
      <w:pPr>
        <w:spacing w:after="0" w:line="240" w:lineRule="auto"/>
        <w:ind w:firstLine="709"/>
        <w:rPr>
          <w:rFonts w:ascii="Times New Roman" w:hAnsi="Times New Roman" w:cs="Times New Roman"/>
          <w:sz w:val="28"/>
          <w:szCs w:val="28"/>
          <w:lang w:val="en-US"/>
        </w:rPr>
      </w:pPr>
      <w:r w:rsidRPr="0068182D">
        <w:rPr>
          <w:rStyle w:val="hps"/>
          <w:rFonts w:ascii="Times New Roman" w:hAnsi="Times New Roman" w:cs="Times New Roman"/>
          <w:sz w:val="28"/>
          <w:szCs w:val="28"/>
          <w:lang w:val="en-US"/>
        </w:rPr>
        <w:t>1.</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financial system</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economic development.</w:t>
      </w:r>
      <w:r w:rsidRPr="0068182D">
        <w:rPr>
          <w:rFonts w:ascii="Times New Roman" w:eastAsia="Times New Roman" w:hAnsi="Times New Roman" w:cs="Times New Roman"/>
          <w:sz w:val="28"/>
          <w:szCs w:val="28"/>
          <w:lang w:val="en-US"/>
        </w:rPr>
        <w:br/>
      </w:r>
      <w:r w:rsidRPr="0068182D">
        <w:rPr>
          <w:rStyle w:val="hps"/>
          <w:rFonts w:ascii="Times New Roman" w:hAnsi="Times New Roman" w:cs="Times New Roman"/>
          <w:sz w:val="28"/>
          <w:szCs w:val="28"/>
          <w:lang w:val="en-US"/>
        </w:rPr>
        <w:t>2. Characteristics of</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units</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the financial system</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developed countries</w:t>
      </w:r>
      <w:r w:rsidRPr="0068182D">
        <w:rPr>
          <w:rFonts w:ascii="Times New Roman" w:eastAsia="Times New Roman" w:hAnsi="Times New Roman" w:cs="Times New Roman"/>
          <w:sz w:val="28"/>
          <w:szCs w:val="28"/>
          <w:lang w:val="en-US"/>
        </w:rPr>
        <w:t>.</w:t>
      </w:r>
    </w:p>
    <w:p w:rsidR="00E576A5" w:rsidRPr="0068182D" w:rsidRDefault="00E576A5" w:rsidP="00E576A5">
      <w:pPr>
        <w:spacing w:after="0" w:line="240" w:lineRule="auto"/>
        <w:ind w:firstLine="709"/>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3.</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Features</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Finance</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developed countries.</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place and role</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in</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finances of public</w:t>
      </w:r>
      <w:r w:rsidRPr="0068182D">
        <w:rPr>
          <w:rFonts w:ascii="Times New Roman" w:eastAsia="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enterprises</w:t>
      </w:r>
    </w:p>
    <w:p w:rsidR="00E576A5" w:rsidRPr="0068182D" w:rsidRDefault="00E576A5" w:rsidP="00E576A5">
      <w:pPr>
        <w:spacing w:after="0" w:line="240" w:lineRule="auto"/>
        <w:ind w:left="708" w:firstLine="1"/>
        <w:rPr>
          <w:rStyle w:val="hps"/>
          <w:rFonts w:ascii="Times New Roman" w:hAnsi="Times New Roman" w:cs="Times New Roman"/>
          <w:sz w:val="28"/>
          <w:szCs w:val="28"/>
          <w:lang w:val="en-US"/>
        </w:rPr>
      </w:pPr>
      <w:r w:rsidRPr="0068182D">
        <w:rPr>
          <w:rStyle w:val="hps"/>
          <w:rFonts w:ascii="Times New Roman" w:hAnsi="Times New Roman" w:cs="Times New Roman"/>
          <w:sz w:val="28"/>
          <w:szCs w:val="28"/>
          <w:lang w:val="en-US"/>
        </w:rPr>
        <w:t>4.</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nature 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value of</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the state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budget</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and</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its structure</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characterization</w:t>
      </w:r>
      <w:r w:rsidRPr="0068182D">
        <w:rPr>
          <w:rFonts w:ascii="Times New Roman" w:hAnsi="Times New Roman" w:cs="Times New Roman"/>
          <w:sz w:val="28"/>
          <w:szCs w:val="28"/>
          <w:lang w:val="en-US"/>
        </w:rPr>
        <w:br/>
      </w:r>
      <w:r w:rsidRPr="0068182D">
        <w:rPr>
          <w:rStyle w:val="hps"/>
          <w:rFonts w:ascii="Times New Roman" w:hAnsi="Times New Roman" w:cs="Times New Roman"/>
          <w:sz w:val="28"/>
          <w:szCs w:val="28"/>
          <w:lang w:val="en-US"/>
        </w:rPr>
        <w:t>5.</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Features</w:t>
      </w:r>
      <w:r w:rsidRPr="0068182D">
        <w:rPr>
          <w:rFonts w:ascii="Times New Roman" w:hAnsi="Times New Roman" w:cs="Times New Roman"/>
          <w:sz w:val="28"/>
          <w:szCs w:val="28"/>
          <w:lang w:val="en-US"/>
        </w:rPr>
        <w:t xml:space="preserve"> </w:t>
      </w:r>
      <w:r w:rsidRPr="0068182D">
        <w:rPr>
          <w:rStyle w:val="hps"/>
          <w:rFonts w:ascii="Times New Roman" w:hAnsi="Times New Roman" w:cs="Times New Roman"/>
          <w:sz w:val="28"/>
          <w:szCs w:val="28"/>
          <w:lang w:val="en-US"/>
        </w:rPr>
        <w:t>of the tax system</w:t>
      </w:r>
      <w:r w:rsidRPr="0068182D">
        <w:rPr>
          <w:rFonts w:ascii="Times New Roman" w:hAnsi="Times New Roman" w:cs="Times New Roman"/>
          <w:sz w:val="28"/>
          <w:szCs w:val="28"/>
          <w:lang w:val="en-US"/>
        </w:rPr>
        <w:br/>
      </w:r>
    </w:p>
    <w:p w:rsidR="00CA346A" w:rsidRPr="0068182D" w:rsidRDefault="00CA346A" w:rsidP="00784BCE">
      <w:pPr>
        <w:pageBreakBefore/>
        <w:spacing w:after="0" w:line="240" w:lineRule="auto"/>
        <w:jc w:val="center"/>
        <w:rPr>
          <w:rFonts w:ascii="Times New Roman" w:hAnsi="Times New Roman" w:cs="Times New Roman"/>
          <w:b/>
          <w:sz w:val="28"/>
          <w:szCs w:val="28"/>
          <w:lang w:val="en-US"/>
        </w:rPr>
      </w:pPr>
      <w:r w:rsidRPr="0068182D">
        <w:rPr>
          <w:rFonts w:ascii="Times New Roman" w:hAnsi="Times New Roman" w:cs="Times New Roman"/>
          <w:b/>
          <w:sz w:val="28"/>
          <w:szCs w:val="28"/>
          <w:lang w:val="en-US"/>
        </w:rPr>
        <w:t>References</w:t>
      </w:r>
    </w:p>
    <w:p w:rsidR="00CA346A" w:rsidRPr="0068182D" w:rsidRDefault="00CA346A" w:rsidP="00CA346A">
      <w:pPr>
        <w:spacing w:after="0" w:line="240" w:lineRule="auto"/>
        <w:ind w:firstLine="426"/>
        <w:rPr>
          <w:rFonts w:ascii="Times New Roman" w:hAnsi="Times New Roman" w:cs="Times New Roman"/>
          <w:b/>
          <w:sz w:val="28"/>
          <w:szCs w:val="28"/>
          <w:lang w:val="en-US"/>
        </w:rPr>
      </w:pPr>
    </w:p>
    <w:p w:rsidR="00CA346A" w:rsidRPr="0068182D" w:rsidRDefault="00CA346A" w:rsidP="00CA346A">
      <w:pPr>
        <w:spacing w:after="0" w:line="240" w:lineRule="auto"/>
        <w:ind w:firstLine="426"/>
        <w:rPr>
          <w:rFonts w:ascii="Times New Roman" w:hAnsi="Times New Roman" w:cs="Times New Roman"/>
          <w:b/>
          <w:sz w:val="28"/>
          <w:szCs w:val="28"/>
          <w:lang w:val="en-US"/>
        </w:rPr>
      </w:pPr>
      <w:r w:rsidRPr="0068182D">
        <w:rPr>
          <w:rFonts w:ascii="Times New Roman" w:hAnsi="Times New Roman" w:cs="Times New Roman"/>
          <w:b/>
          <w:sz w:val="28"/>
          <w:szCs w:val="28"/>
          <w:lang w:val="en-US"/>
        </w:rPr>
        <w:t>Main literature:</w:t>
      </w:r>
    </w:p>
    <w:p w:rsidR="00CA346A" w:rsidRPr="0068182D" w:rsidRDefault="00CA346A" w:rsidP="00CA346A">
      <w:pPr>
        <w:autoSpaceDE w:val="0"/>
        <w:autoSpaceDN w:val="0"/>
        <w:adjustRightInd w:val="0"/>
        <w:spacing w:after="0" w:line="240" w:lineRule="auto"/>
        <w:rPr>
          <w:rFonts w:ascii="Times New Roman" w:hAnsi="Times New Roman" w:cs="Times New Roman"/>
          <w:noProof/>
          <w:sz w:val="28"/>
          <w:szCs w:val="28"/>
          <w:lang w:val="en-US"/>
        </w:rPr>
      </w:pPr>
      <w:r w:rsidRPr="0068182D">
        <w:rPr>
          <w:rFonts w:ascii="Times New Roman" w:hAnsi="Times New Roman" w:cs="Times New Roman"/>
          <w:noProof/>
          <w:sz w:val="28"/>
          <w:szCs w:val="28"/>
          <w:lang w:val="kk-KZ"/>
        </w:rPr>
        <w:t>1. Berstembaeva R</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K</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 xml:space="preserve"> Organization of public finances in some developed countries - Almaty., Institute of Kazakhstan, 20</w:t>
      </w:r>
      <w:r w:rsidRPr="0068182D">
        <w:rPr>
          <w:rFonts w:ascii="Times New Roman" w:hAnsi="Times New Roman" w:cs="Times New Roman"/>
          <w:noProof/>
          <w:sz w:val="28"/>
          <w:szCs w:val="28"/>
          <w:lang w:val="en-US"/>
        </w:rPr>
        <w:t>1</w:t>
      </w:r>
      <w:r w:rsidRPr="0068182D">
        <w:rPr>
          <w:rFonts w:ascii="Times New Roman" w:hAnsi="Times New Roman" w:cs="Times New Roman"/>
          <w:noProof/>
          <w:sz w:val="28"/>
          <w:szCs w:val="28"/>
          <w:lang w:val="kk-KZ"/>
        </w:rPr>
        <w:t>1</w:t>
      </w:r>
    </w:p>
    <w:p w:rsidR="00CA346A" w:rsidRPr="0068182D" w:rsidRDefault="00CA346A" w:rsidP="00CA346A">
      <w:pPr>
        <w:autoSpaceDE w:val="0"/>
        <w:autoSpaceDN w:val="0"/>
        <w:adjustRightInd w:val="0"/>
        <w:spacing w:after="0" w:line="240" w:lineRule="auto"/>
        <w:rPr>
          <w:rFonts w:ascii="Times New Roman" w:hAnsi="Times New Roman" w:cs="Times New Roman"/>
          <w:noProof/>
          <w:sz w:val="28"/>
          <w:szCs w:val="28"/>
          <w:lang w:val="en-US"/>
        </w:rPr>
      </w:pPr>
      <w:r w:rsidRPr="0068182D">
        <w:rPr>
          <w:rFonts w:ascii="Times New Roman" w:hAnsi="Times New Roman" w:cs="Times New Roman"/>
          <w:noProof/>
          <w:sz w:val="28"/>
          <w:szCs w:val="28"/>
          <w:lang w:val="kk-KZ"/>
        </w:rPr>
        <w:t>2. Boldyrev B</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G</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 xml:space="preserve"> Finance capitalism - M, "Finance and Statistics". 20</w:t>
      </w:r>
      <w:r w:rsidRPr="0068182D">
        <w:rPr>
          <w:rFonts w:ascii="Times New Roman" w:hAnsi="Times New Roman" w:cs="Times New Roman"/>
          <w:noProof/>
          <w:sz w:val="28"/>
          <w:szCs w:val="28"/>
          <w:lang w:val="en-US"/>
        </w:rPr>
        <w:t>1</w:t>
      </w:r>
      <w:r w:rsidRPr="0068182D">
        <w:rPr>
          <w:rFonts w:ascii="Times New Roman" w:hAnsi="Times New Roman" w:cs="Times New Roman"/>
          <w:noProof/>
          <w:sz w:val="28"/>
          <w:szCs w:val="28"/>
          <w:lang w:val="kk-KZ"/>
        </w:rPr>
        <w:t>0</w:t>
      </w:r>
    </w:p>
    <w:p w:rsidR="00CA346A" w:rsidRPr="0068182D" w:rsidRDefault="00CA346A" w:rsidP="00CA346A">
      <w:pPr>
        <w:autoSpaceDE w:val="0"/>
        <w:autoSpaceDN w:val="0"/>
        <w:adjustRightInd w:val="0"/>
        <w:spacing w:after="0" w:line="240" w:lineRule="auto"/>
        <w:rPr>
          <w:rFonts w:ascii="Times New Roman" w:hAnsi="Times New Roman" w:cs="Times New Roman"/>
          <w:noProof/>
          <w:sz w:val="28"/>
          <w:szCs w:val="28"/>
          <w:lang w:val="en-US"/>
        </w:rPr>
      </w:pPr>
      <w:r w:rsidRPr="0068182D">
        <w:rPr>
          <w:rFonts w:ascii="Times New Roman" w:hAnsi="Times New Roman" w:cs="Times New Roman"/>
          <w:noProof/>
          <w:sz w:val="28"/>
          <w:szCs w:val="28"/>
          <w:lang w:val="kk-KZ"/>
        </w:rPr>
        <w:t>3. Huseynov P</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M</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 Gorbachev Y</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V</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 Ryabtssva V</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M</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 xml:space="preserve"> History of Economic Thought. - M Ltd. "publishing house INFRA-M", 20</w:t>
      </w:r>
      <w:r w:rsidRPr="0068182D">
        <w:rPr>
          <w:rFonts w:ascii="Times New Roman" w:hAnsi="Times New Roman" w:cs="Times New Roman"/>
          <w:noProof/>
          <w:sz w:val="28"/>
          <w:szCs w:val="28"/>
          <w:lang w:val="en-US"/>
        </w:rPr>
        <w:t>1</w:t>
      </w:r>
      <w:r w:rsidRPr="0068182D">
        <w:rPr>
          <w:rFonts w:ascii="Times New Roman" w:hAnsi="Times New Roman" w:cs="Times New Roman"/>
          <w:noProof/>
          <w:sz w:val="28"/>
          <w:szCs w:val="28"/>
          <w:lang w:val="kk-KZ"/>
        </w:rPr>
        <w:t>0</w:t>
      </w:r>
    </w:p>
    <w:p w:rsidR="00CA346A" w:rsidRPr="0068182D" w:rsidRDefault="00CA346A" w:rsidP="00CA346A">
      <w:pPr>
        <w:autoSpaceDE w:val="0"/>
        <w:autoSpaceDN w:val="0"/>
        <w:adjustRightInd w:val="0"/>
        <w:spacing w:after="0" w:line="240" w:lineRule="auto"/>
        <w:rPr>
          <w:rFonts w:ascii="Times New Roman" w:hAnsi="Times New Roman" w:cs="Times New Roman"/>
          <w:noProof/>
          <w:sz w:val="28"/>
          <w:szCs w:val="28"/>
          <w:lang w:val="en-US"/>
        </w:rPr>
      </w:pPr>
      <w:r w:rsidRPr="0068182D">
        <w:rPr>
          <w:rFonts w:ascii="Times New Roman" w:hAnsi="Times New Roman" w:cs="Times New Roman"/>
          <w:noProof/>
          <w:sz w:val="28"/>
          <w:szCs w:val="28"/>
          <w:lang w:val="kk-KZ"/>
        </w:rPr>
        <w:t>4. Dernberg R.L International Taxation. Short Course. M ,: UNITY 20</w:t>
      </w:r>
      <w:r w:rsidRPr="0068182D">
        <w:rPr>
          <w:rFonts w:ascii="Times New Roman" w:hAnsi="Times New Roman" w:cs="Times New Roman"/>
          <w:noProof/>
          <w:sz w:val="28"/>
          <w:szCs w:val="28"/>
          <w:lang w:val="en-US"/>
        </w:rPr>
        <w:t>14</w:t>
      </w:r>
    </w:p>
    <w:p w:rsidR="00CA346A" w:rsidRPr="0068182D" w:rsidRDefault="00CA346A" w:rsidP="00CA346A">
      <w:pPr>
        <w:autoSpaceDE w:val="0"/>
        <w:autoSpaceDN w:val="0"/>
        <w:adjustRightInd w:val="0"/>
        <w:spacing w:after="0" w:line="240" w:lineRule="auto"/>
        <w:rPr>
          <w:rFonts w:ascii="Times New Roman" w:hAnsi="Times New Roman" w:cs="Times New Roman"/>
          <w:noProof/>
          <w:sz w:val="28"/>
          <w:szCs w:val="28"/>
          <w:lang w:val="en-US"/>
        </w:rPr>
      </w:pPr>
      <w:r w:rsidRPr="0068182D">
        <w:rPr>
          <w:rFonts w:ascii="Times New Roman" w:hAnsi="Times New Roman" w:cs="Times New Roman"/>
          <w:noProof/>
          <w:sz w:val="28"/>
          <w:szCs w:val="28"/>
          <w:lang w:val="kk-KZ"/>
        </w:rPr>
        <w:t>5. Ilyasov K</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K</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 Melnikov V</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D</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 xml:space="preserve"> Finance. Textbook for economic specialties universities. Almaty, 20</w:t>
      </w:r>
      <w:r w:rsidRPr="0068182D">
        <w:rPr>
          <w:rFonts w:ascii="Times New Roman" w:hAnsi="Times New Roman" w:cs="Times New Roman"/>
          <w:noProof/>
          <w:sz w:val="28"/>
          <w:szCs w:val="28"/>
          <w:lang w:val="en-US"/>
        </w:rPr>
        <w:t>1</w:t>
      </w:r>
      <w:r w:rsidRPr="0068182D">
        <w:rPr>
          <w:rFonts w:ascii="Times New Roman" w:hAnsi="Times New Roman" w:cs="Times New Roman"/>
          <w:noProof/>
          <w:sz w:val="28"/>
          <w:szCs w:val="28"/>
          <w:lang w:val="kk-KZ"/>
        </w:rPr>
        <w:t>1</w:t>
      </w:r>
    </w:p>
    <w:p w:rsidR="00CA346A" w:rsidRPr="0068182D" w:rsidRDefault="00CA346A" w:rsidP="00CA346A">
      <w:pPr>
        <w:autoSpaceDE w:val="0"/>
        <w:autoSpaceDN w:val="0"/>
        <w:adjustRightInd w:val="0"/>
        <w:spacing w:after="0" w:line="240" w:lineRule="auto"/>
        <w:rPr>
          <w:rFonts w:ascii="Times New Roman" w:hAnsi="Times New Roman" w:cs="Times New Roman"/>
          <w:noProof/>
          <w:sz w:val="28"/>
          <w:szCs w:val="28"/>
          <w:lang w:val="en-US"/>
        </w:rPr>
      </w:pPr>
      <w:r w:rsidRPr="0068182D">
        <w:rPr>
          <w:rFonts w:ascii="Times New Roman" w:hAnsi="Times New Roman" w:cs="Times New Roman"/>
          <w:noProof/>
          <w:sz w:val="28"/>
          <w:szCs w:val="28"/>
          <w:lang w:val="en-US"/>
        </w:rPr>
        <w:t>6</w:t>
      </w:r>
      <w:r w:rsidRPr="0068182D">
        <w:rPr>
          <w:rFonts w:ascii="Times New Roman" w:hAnsi="Times New Roman" w:cs="Times New Roman"/>
          <w:noProof/>
          <w:sz w:val="28"/>
          <w:szCs w:val="28"/>
          <w:lang w:val="kk-KZ"/>
        </w:rPr>
        <w:t>. Lomakin V</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K</w:t>
      </w:r>
      <w:r w:rsidRPr="0068182D">
        <w:rPr>
          <w:rFonts w:ascii="Times New Roman" w:hAnsi="Times New Roman" w:cs="Times New Roman"/>
          <w:noProof/>
          <w:sz w:val="28"/>
          <w:szCs w:val="28"/>
          <w:lang w:val="en-US"/>
        </w:rPr>
        <w:t>.</w:t>
      </w:r>
      <w:r w:rsidRPr="0068182D">
        <w:rPr>
          <w:rFonts w:ascii="Times New Roman" w:hAnsi="Times New Roman" w:cs="Times New Roman"/>
          <w:noProof/>
          <w:sz w:val="28"/>
          <w:szCs w:val="28"/>
          <w:lang w:val="kk-KZ"/>
        </w:rPr>
        <w:t xml:space="preserve"> World economy. - M., "Finance and Statistics". 20</w:t>
      </w:r>
      <w:r w:rsidRPr="0068182D">
        <w:rPr>
          <w:rFonts w:ascii="Times New Roman" w:hAnsi="Times New Roman" w:cs="Times New Roman"/>
          <w:noProof/>
          <w:sz w:val="28"/>
          <w:szCs w:val="28"/>
          <w:lang w:val="en-US"/>
        </w:rPr>
        <w:t>12</w:t>
      </w:r>
    </w:p>
    <w:p w:rsidR="00CA346A" w:rsidRPr="0068182D" w:rsidRDefault="00CA346A" w:rsidP="00CA346A">
      <w:pPr>
        <w:autoSpaceDE w:val="0"/>
        <w:autoSpaceDN w:val="0"/>
        <w:adjustRightInd w:val="0"/>
        <w:spacing w:after="0" w:line="240" w:lineRule="auto"/>
        <w:rPr>
          <w:rFonts w:ascii="Times New Roman" w:hAnsi="Times New Roman" w:cs="Times New Roman"/>
          <w:noProof/>
          <w:sz w:val="28"/>
          <w:szCs w:val="28"/>
          <w:lang w:val="en-US"/>
        </w:rPr>
      </w:pPr>
      <w:r w:rsidRPr="0068182D">
        <w:rPr>
          <w:rFonts w:ascii="Times New Roman" w:hAnsi="Times New Roman" w:cs="Times New Roman"/>
          <w:noProof/>
          <w:sz w:val="28"/>
          <w:szCs w:val="28"/>
          <w:lang w:val="en-US"/>
        </w:rPr>
        <w:t>7</w:t>
      </w:r>
      <w:r w:rsidRPr="0068182D">
        <w:rPr>
          <w:rFonts w:ascii="Times New Roman" w:hAnsi="Times New Roman" w:cs="Times New Roman"/>
          <w:noProof/>
          <w:sz w:val="28"/>
          <w:szCs w:val="28"/>
          <w:lang w:val="kk-KZ"/>
        </w:rPr>
        <w:t>. Halsvinskaya E., I. Crozet world economy. - M .. Yurist. 20</w:t>
      </w:r>
      <w:r w:rsidRPr="0068182D">
        <w:rPr>
          <w:rFonts w:ascii="Times New Roman" w:hAnsi="Times New Roman" w:cs="Times New Roman"/>
          <w:noProof/>
          <w:sz w:val="28"/>
          <w:szCs w:val="28"/>
          <w:lang w:val="en-US"/>
        </w:rPr>
        <w:t>13</w:t>
      </w:r>
    </w:p>
    <w:p w:rsidR="00CA346A" w:rsidRPr="0068182D" w:rsidRDefault="00CA346A" w:rsidP="00CA346A">
      <w:pPr>
        <w:autoSpaceDE w:val="0"/>
        <w:autoSpaceDN w:val="0"/>
        <w:adjustRightInd w:val="0"/>
        <w:spacing w:after="0" w:line="240" w:lineRule="auto"/>
        <w:rPr>
          <w:rFonts w:ascii="Times New Roman" w:hAnsi="Times New Roman" w:cs="Times New Roman"/>
          <w:noProof/>
          <w:sz w:val="28"/>
          <w:szCs w:val="28"/>
          <w:lang w:val="en-US"/>
        </w:rPr>
      </w:pPr>
      <w:r w:rsidRPr="0068182D">
        <w:rPr>
          <w:rFonts w:ascii="Times New Roman" w:hAnsi="Times New Roman" w:cs="Times New Roman"/>
          <w:noProof/>
          <w:sz w:val="28"/>
          <w:szCs w:val="28"/>
          <w:lang w:val="en-US"/>
        </w:rPr>
        <w:t>8</w:t>
      </w:r>
      <w:r w:rsidRPr="0068182D">
        <w:rPr>
          <w:rFonts w:ascii="Times New Roman" w:hAnsi="Times New Roman" w:cs="Times New Roman"/>
          <w:noProof/>
          <w:sz w:val="28"/>
          <w:szCs w:val="28"/>
          <w:lang w:val="kk-KZ"/>
        </w:rPr>
        <w:t>. The economic history of foreign countries. - Textbook edited Golubovicha V.I.- Minsk., SP "Ekoperspektiva." 20</w:t>
      </w:r>
      <w:r w:rsidRPr="0068182D">
        <w:rPr>
          <w:rFonts w:ascii="Times New Roman" w:hAnsi="Times New Roman" w:cs="Times New Roman"/>
          <w:noProof/>
          <w:sz w:val="28"/>
          <w:szCs w:val="28"/>
          <w:lang w:val="en-US"/>
        </w:rPr>
        <w:t>12.</w:t>
      </w:r>
    </w:p>
    <w:p w:rsidR="00CA346A" w:rsidRPr="0068182D" w:rsidRDefault="00CA346A" w:rsidP="00CA346A">
      <w:pPr>
        <w:autoSpaceDE w:val="0"/>
        <w:autoSpaceDN w:val="0"/>
        <w:adjustRightInd w:val="0"/>
        <w:spacing w:after="0" w:line="240" w:lineRule="auto"/>
        <w:rPr>
          <w:rFonts w:ascii="Times New Roman" w:hAnsi="Times New Roman" w:cs="Times New Roman"/>
          <w:noProof/>
          <w:sz w:val="28"/>
          <w:szCs w:val="28"/>
          <w:lang w:val="en-US"/>
        </w:rPr>
      </w:pPr>
      <w:r w:rsidRPr="0068182D">
        <w:rPr>
          <w:rFonts w:ascii="Times New Roman" w:hAnsi="Times New Roman" w:cs="Times New Roman"/>
          <w:noProof/>
          <w:sz w:val="28"/>
          <w:szCs w:val="28"/>
          <w:lang w:val="en-US"/>
        </w:rPr>
        <w:t>9</w:t>
      </w:r>
      <w:r w:rsidRPr="0068182D">
        <w:rPr>
          <w:rFonts w:ascii="Times New Roman" w:hAnsi="Times New Roman" w:cs="Times New Roman"/>
          <w:noProof/>
          <w:sz w:val="28"/>
          <w:szCs w:val="28"/>
          <w:lang w:val="kk-KZ"/>
        </w:rPr>
        <w:t>. Dorzhieva I.TS-D. The theoretical aspects of the relationship of elements of the financial system // Proceedings of the ISEA. 20</w:t>
      </w:r>
      <w:r w:rsidRPr="0068182D">
        <w:rPr>
          <w:rFonts w:ascii="Times New Roman" w:hAnsi="Times New Roman" w:cs="Times New Roman"/>
          <w:noProof/>
          <w:sz w:val="28"/>
          <w:szCs w:val="28"/>
          <w:lang w:val="en-US"/>
        </w:rPr>
        <w:t>12</w:t>
      </w:r>
      <w:r w:rsidRPr="0068182D">
        <w:rPr>
          <w:rFonts w:ascii="Times New Roman" w:hAnsi="Times New Roman" w:cs="Times New Roman"/>
          <w:noProof/>
          <w:sz w:val="28"/>
          <w:szCs w:val="28"/>
          <w:lang w:val="kk-KZ"/>
        </w:rPr>
        <w:t>. №5.</w:t>
      </w:r>
    </w:p>
    <w:p w:rsidR="00CA346A" w:rsidRPr="0068182D" w:rsidRDefault="00CA346A" w:rsidP="00CA346A">
      <w:pPr>
        <w:autoSpaceDE w:val="0"/>
        <w:autoSpaceDN w:val="0"/>
        <w:adjustRightInd w:val="0"/>
        <w:spacing w:after="0" w:line="240" w:lineRule="auto"/>
        <w:rPr>
          <w:rFonts w:ascii="Times New Roman" w:hAnsi="Times New Roman" w:cs="Times New Roman"/>
          <w:noProof/>
          <w:sz w:val="28"/>
          <w:szCs w:val="28"/>
          <w:lang w:val="en-US"/>
        </w:rPr>
      </w:pPr>
      <w:r w:rsidRPr="0068182D">
        <w:rPr>
          <w:rFonts w:ascii="Times New Roman" w:hAnsi="Times New Roman" w:cs="Times New Roman"/>
          <w:noProof/>
          <w:sz w:val="28"/>
          <w:szCs w:val="28"/>
          <w:lang w:val="en-US"/>
        </w:rPr>
        <w:t>10</w:t>
      </w:r>
      <w:r w:rsidRPr="0068182D">
        <w:rPr>
          <w:rFonts w:ascii="Times New Roman" w:hAnsi="Times New Roman" w:cs="Times New Roman"/>
          <w:noProof/>
          <w:sz w:val="28"/>
          <w:szCs w:val="28"/>
          <w:lang w:val="kk-KZ"/>
        </w:rPr>
        <w:t>. S.Assekritov, V.Shirokobokova Intergovernmental relations: problems and approaches to their solution // The Economist. - 20</w:t>
      </w:r>
      <w:r w:rsidRPr="0068182D">
        <w:rPr>
          <w:rFonts w:ascii="Times New Roman" w:hAnsi="Times New Roman" w:cs="Times New Roman"/>
          <w:noProof/>
          <w:sz w:val="28"/>
          <w:szCs w:val="28"/>
          <w:lang w:val="en-US"/>
        </w:rPr>
        <w:t>1</w:t>
      </w:r>
      <w:r w:rsidRPr="0068182D">
        <w:rPr>
          <w:rFonts w:ascii="Times New Roman" w:hAnsi="Times New Roman" w:cs="Times New Roman"/>
          <w:noProof/>
          <w:sz w:val="28"/>
          <w:szCs w:val="28"/>
          <w:lang w:val="kk-KZ"/>
        </w:rPr>
        <w:t>1. - №1. - B.57-65.</w:t>
      </w:r>
    </w:p>
    <w:p w:rsidR="00CA346A" w:rsidRPr="0068182D" w:rsidRDefault="00CA346A" w:rsidP="00CA346A">
      <w:pPr>
        <w:autoSpaceDE w:val="0"/>
        <w:autoSpaceDN w:val="0"/>
        <w:adjustRightInd w:val="0"/>
        <w:spacing w:after="0" w:line="240" w:lineRule="auto"/>
        <w:rPr>
          <w:rFonts w:ascii="Times New Roman" w:hAnsi="Times New Roman" w:cs="Times New Roman"/>
          <w:noProof/>
          <w:sz w:val="28"/>
          <w:szCs w:val="28"/>
          <w:lang w:val="en-US"/>
        </w:rPr>
      </w:pPr>
      <w:r w:rsidRPr="0068182D">
        <w:rPr>
          <w:rFonts w:ascii="Times New Roman" w:hAnsi="Times New Roman" w:cs="Times New Roman"/>
          <w:noProof/>
          <w:sz w:val="28"/>
          <w:szCs w:val="28"/>
          <w:lang w:val="en-US"/>
        </w:rPr>
        <w:t>11</w:t>
      </w:r>
      <w:r w:rsidRPr="0068182D">
        <w:rPr>
          <w:rFonts w:ascii="Times New Roman" w:hAnsi="Times New Roman" w:cs="Times New Roman"/>
          <w:noProof/>
          <w:sz w:val="28"/>
          <w:szCs w:val="28"/>
          <w:lang w:val="kk-KZ"/>
        </w:rPr>
        <w:t>. P.Kadochnikov, I. Trunin Problems of modeling the impact of intergovernmental grants on the fiscal behavior of subnational authorities // Questions of economy. - 20</w:t>
      </w:r>
      <w:r w:rsidRPr="0068182D">
        <w:rPr>
          <w:rFonts w:ascii="Times New Roman" w:hAnsi="Times New Roman" w:cs="Times New Roman"/>
          <w:noProof/>
          <w:sz w:val="28"/>
          <w:szCs w:val="28"/>
          <w:lang w:val="en-US"/>
        </w:rPr>
        <w:t>1</w:t>
      </w:r>
      <w:r w:rsidRPr="0068182D">
        <w:rPr>
          <w:rFonts w:ascii="Times New Roman" w:hAnsi="Times New Roman" w:cs="Times New Roman"/>
          <w:noProof/>
          <w:sz w:val="28"/>
          <w:szCs w:val="28"/>
          <w:lang w:val="kk-KZ"/>
        </w:rPr>
        <w:t>2. - №5. - B.103-126.</w:t>
      </w:r>
    </w:p>
    <w:p w:rsidR="00CA346A" w:rsidRPr="0068182D" w:rsidRDefault="00CA346A" w:rsidP="00CA346A">
      <w:pPr>
        <w:autoSpaceDE w:val="0"/>
        <w:autoSpaceDN w:val="0"/>
        <w:adjustRightInd w:val="0"/>
        <w:spacing w:after="0" w:line="240" w:lineRule="auto"/>
        <w:rPr>
          <w:rFonts w:ascii="Times New Roman" w:hAnsi="Times New Roman" w:cs="Times New Roman"/>
          <w:sz w:val="28"/>
          <w:szCs w:val="28"/>
          <w:lang w:val="en-US"/>
        </w:rPr>
      </w:pPr>
      <w:r w:rsidRPr="0068182D">
        <w:rPr>
          <w:rFonts w:ascii="Times New Roman" w:hAnsi="Times New Roman" w:cs="Times New Roman"/>
          <w:sz w:val="28"/>
          <w:szCs w:val="28"/>
          <w:lang w:val="en-US"/>
        </w:rPr>
        <w:t xml:space="preserve"> </w:t>
      </w:r>
    </w:p>
    <w:p w:rsidR="00CA346A" w:rsidRPr="0068182D" w:rsidRDefault="00CA346A" w:rsidP="00CA346A">
      <w:pPr>
        <w:autoSpaceDE w:val="0"/>
        <w:autoSpaceDN w:val="0"/>
        <w:adjustRightInd w:val="0"/>
        <w:spacing w:after="0" w:line="240" w:lineRule="auto"/>
        <w:rPr>
          <w:rFonts w:ascii="Times New Roman" w:hAnsi="Times New Roman" w:cs="Times New Roman"/>
          <w:b/>
          <w:sz w:val="28"/>
          <w:szCs w:val="28"/>
          <w:lang w:val="en-US"/>
        </w:rPr>
      </w:pPr>
      <w:r w:rsidRPr="0068182D">
        <w:rPr>
          <w:rFonts w:ascii="Times New Roman" w:hAnsi="Times New Roman" w:cs="Times New Roman"/>
          <w:b/>
          <w:sz w:val="28"/>
          <w:szCs w:val="28"/>
          <w:lang w:val="en-US"/>
        </w:rPr>
        <w:t>Additional literature</w:t>
      </w:r>
    </w:p>
    <w:p w:rsidR="00CA346A" w:rsidRPr="0068182D" w:rsidRDefault="00CA346A" w:rsidP="000537F4">
      <w:pPr>
        <w:numPr>
          <w:ilvl w:val="0"/>
          <w:numId w:val="50"/>
        </w:numPr>
        <w:autoSpaceDE w:val="0"/>
        <w:autoSpaceDN w:val="0"/>
        <w:adjustRightInd w:val="0"/>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shd w:val="clear" w:color="auto" w:fill="FFFFFF"/>
          <w:lang w:val="en-US"/>
        </w:rPr>
        <w:t>Manchu Gregory N., Taylor Mark P. Economics, 4th international edition. Almaty: National Translation Bureau, 2018.-848 p.</w:t>
      </w:r>
    </w:p>
    <w:p w:rsidR="00CA346A" w:rsidRPr="0068182D" w:rsidRDefault="00CA346A" w:rsidP="000537F4">
      <w:pPr>
        <w:numPr>
          <w:ilvl w:val="0"/>
          <w:numId w:val="50"/>
        </w:numPr>
        <w:autoSpaceDE w:val="0"/>
        <w:autoSpaceDN w:val="0"/>
        <w:adjustRightInd w:val="0"/>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lang w:val="en-US"/>
        </w:rPr>
        <w:t>The growth of the bond market in Europe //KORINF.-M.,2009.№40.-S.10. Euro on the financial markets // CORINTH: contacts, markets around the world, information.--M., 2009.-№1.-S.7-8.</w:t>
      </w:r>
    </w:p>
    <w:p w:rsidR="00CA346A" w:rsidRPr="0068182D" w:rsidRDefault="00CA346A" w:rsidP="000537F4">
      <w:pPr>
        <w:numPr>
          <w:ilvl w:val="0"/>
          <w:numId w:val="50"/>
        </w:numPr>
        <w:autoSpaceDE w:val="0"/>
        <w:autoSpaceDN w:val="0"/>
        <w:adjustRightInd w:val="0"/>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lang w:val="en-US"/>
        </w:rPr>
        <w:t>The market shares of Chinese companies KORINF. // M., 2010.№3.-C.11.</w:t>
      </w:r>
    </w:p>
    <w:p w:rsidR="00CA346A" w:rsidRPr="0068182D" w:rsidRDefault="00CA346A" w:rsidP="000537F4">
      <w:pPr>
        <w:numPr>
          <w:ilvl w:val="0"/>
          <w:numId w:val="50"/>
        </w:numPr>
        <w:autoSpaceDE w:val="0"/>
        <w:autoSpaceDN w:val="0"/>
        <w:adjustRightInd w:val="0"/>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lang w:val="en-US"/>
        </w:rPr>
        <w:t>Western companies in the Russian market KORINF. // M., 2010.№6-S.4-5.</w:t>
      </w:r>
    </w:p>
    <w:p w:rsidR="00CA346A" w:rsidRPr="0068182D" w:rsidRDefault="00CA346A" w:rsidP="000537F4">
      <w:pPr>
        <w:numPr>
          <w:ilvl w:val="0"/>
          <w:numId w:val="50"/>
        </w:numPr>
        <w:autoSpaceDE w:val="0"/>
        <w:autoSpaceDN w:val="0"/>
        <w:adjustRightInd w:val="0"/>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lang w:val="en-US"/>
        </w:rPr>
        <w:t>Negative interest rates in Japan // Korinf.-M., 2009.-№30. C.6</w:t>
      </w:r>
    </w:p>
    <w:p w:rsidR="00CA346A" w:rsidRPr="0068182D" w:rsidRDefault="00CA346A" w:rsidP="000537F4">
      <w:pPr>
        <w:numPr>
          <w:ilvl w:val="0"/>
          <w:numId w:val="50"/>
        </w:numPr>
        <w:autoSpaceDE w:val="0"/>
        <w:autoSpaceDN w:val="0"/>
        <w:adjustRightInd w:val="0"/>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lang w:val="en-US"/>
        </w:rPr>
        <w:t>M A revival of the market in Europe // KORINF.-M., 2010.-№8.-S.5-6.</w:t>
      </w:r>
    </w:p>
    <w:p w:rsidR="00CA346A" w:rsidRPr="0068182D" w:rsidRDefault="00CA346A" w:rsidP="000537F4">
      <w:pPr>
        <w:numPr>
          <w:ilvl w:val="0"/>
          <w:numId w:val="50"/>
        </w:numPr>
        <w:autoSpaceDE w:val="0"/>
        <w:autoSpaceDN w:val="0"/>
        <w:adjustRightInd w:val="0"/>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lang w:val="en-US"/>
        </w:rPr>
        <w:t>Foreign Experience // Securities market of Kazakhstan. - Almaty, 2010. - №1 - S.46-49</w:t>
      </w:r>
    </w:p>
    <w:p w:rsidR="00CA346A" w:rsidRPr="0068182D" w:rsidRDefault="00CA346A" w:rsidP="000537F4">
      <w:pPr>
        <w:numPr>
          <w:ilvl w:val="0"/>
          <w:numId w:val="50"/>
        </w:numPr>
        <w:autoSpaceDE w:val="0"/>
        <w:autoSpaceDN w:val="0"/>
        <w:adjustRightInd w:val="0"/>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lang w:val="en-US"/>
        </w:rPr>
        <w:t>V. Bezrukov Socio-Economic Development of the Russian Federation in 2009 and forecast for 2010 / V. Bezrukov, B.Safronov, Boris Melnikov // The Economist. -M., 2010. - №1. - S.3-19</w:t>
      </w:r>
    </w:p>
    <w:p w:rsidR="00CA346A" w:rsidRPr="0068182D" w:rsidRDefault="00CA346A" w:rsidP="000537F4">
      <w:pPr>
        <w:numPr>
          <w:ilvl w:val="0"/>
          <w:numId w:val="50"/>
        </w:numPr>
        <w:autoSpaceDE w:val="0"/>
        <w:autoSpaceDN w:val="0"/>
        <w:adjustRightInd w:val="0"/>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lang w:val="en-US"/>
        </w:rPr>
        <w:t>Hasanov E.R.Tendentsii of Canadian Fixed Income / E.R.Gasanov // Financial Management. -M., 2010. -№2.-S.80-85</w:t>
      </w:r>
    </w:p>
    <w:p w:rsidR="00CA346A" w:rsidRPr="0068182D" w:rsidRDefault="00CA346A" w:rsidP="000537F4">
      <w:pPr>
        <w:numPr>
          <w:ilvl w:val="0"/>
          <w:numId w:val="50"/>
        </w:numPr>
        <w:autoSpaceDE w:val="0"/>
        <w:autoSpaceDN w:val="0"/>
        <w:adjustRightInd w:val="0"/>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lang w:val="en-US"/>
        </w:rPr>
        <w:t>UMCD for students. Shymkent portal UKGU, 2015</w:t>
      </w:r>
    </w:p>
    <w:p w:rsidR="00CA346A" w:rsidRPr="0068182D" w:rsidRDefault="00CA346A" w:rsidP="000537F4">
      <w:pPr>
        <w:numPr>
          <w:ilvl w:val="0"/>
          <w:numId w:val="50"/>
        </w:numPr>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lang w:val="en-US"/>
        </w:rPr>
        <w:t>T.J. Saparaliyev Sheth elder қarzhylary: oқu құraly. - Shymkent 2014.</w:t>
      </w:r>
    </w:p>
    <w:p w:rsidR="00CA346A" w:rsidRPr="0068182D" w:rsidRDefault="00CA346A" w:rsidP="000537F4">
      <w:pPr>
        <w:numPr>
          <w:ilvl w:val="0"/>
          <w:numId w:val="50"/>
        </w:numPr>
        <w:spacing w:after="0" w:line="240" w:lineRule="auto"/>
        <w:ind w:left="142" w:firstLine="0"/>
        <w:rPr>
          <w:rFonts w:ascii="Times New Roman" w:hAnsi="Times New Roman" w:cs="Times New Roman"/>
          <w:sz w:val="28"/>
          <w:szCs w:val="28"/>
          <w:lang w:val="en-US"/>
        </w:rPr>
      </w:pPr>
      <w:r w:rsidRPr="0068182D">
        <w:rPr>
          <w:rFonts w:ascii="Times New Roman" w:hAnsi="Times New Roman" w:cs="Times New Roman"/>
          <w:sz w:val="28"/>
          <w:szCs w:val="28"/>
          <w:lang w:val="en-US"/>
        </w:rPr>
        <w:t>Saparaliev T.ZH "Sheth elder қarzhylary" panі boynsha lektsiyalar zhinagy. - Shymkent 2012</w:t>
      </w:r>
    </w:p>
    <w:p w:rsidR="00CA346A" w:rsidRPr="008E2EAF" w:rsidRDefault="008E2EAF" w:rsidP="008E2EAF">
      <w:pPr>
        <w:spacing w:after="0" w:line="240" w:lineRule="auto"/>
        <w:jc w:val="center"/>
        <w:rPr>
          <w:rFonts w:ascii="Times New Roman" w:hAnsi="Times New Roman" w:cs="Times New Roman"/>
          <w:b/>
          <w:sz w:val="28"/>
          <w:szCs w:val="28"/>
          <w:lang w:val="en-US"/>
        </w:rPr>
      </w:pPr>
      <w:r w:rsidRPr="008E2EAF">
        <w:rPr>
          <w:rFonts w:ascii="Times New Roman" w:hAnsi="Times New Roman" w:cs="Times New Roman"/>
          <w:b/>
          <w:sz w:val="28"/>
          <w:szCs w:val="28"/>
          <w:lang w:val="en-US"/>
        </w:rPr>
        <w:t>Contents</w:t>
      </w:r>
    </w:p>
    <w:p w:rsidR="008E2EAF" w:rsidRDefault="008E2EAF" w:rsidP="00CA346A">
      <w:pPr>
        <w:spacing w:after="0" w:line="240" w:lineRule="auto"/>
        <w:rPr>
          <w:rFonts w:ascii="Times New Roman" w:hAnsi="Times New Roman" w:cs="Times New Roman"/>
          <w:sz w:val="28"/>
          <w:szCs w:val="28"/>
          <w:lang w:val="en-US"/>
        </w:rPr>
      </w:pPr>
    </w:p>
    <w:tbl>
      <w:tblPr>
        <w:tblStyle w:val="a8"/>
        <w:tblW w:w="91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64"/>
        <w:gridCol w:w="826"/>
      </w:tblGrid>
      <w:tr w:rsidR="008E2EAF" w:rsidRPr="001D6A3B" w:rsidTr="001D6A3B">
        <w:tc>
          <w:tcPr>
            <w:tcW w:w="8364"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Introduction</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5</w:t>
            </w:r>
          </w:p>
        </w:tc>
      </w:tr>
      <w:tr w:rsidR="008E2EAF" w:rsidRPr="001D6A3B" w:rsidTr="001D6A3B">
        <w:tc>
          <w:tcPr>
            <w:tcW w:w="8364"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Theme 1. The essence of finance and financial policy</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6</w:t>
            </w:r>
          </w:p>
        </w:tc>
      </w:tr>
      <w:tr w:rsidR="008E2EAF" w:rsidRPr="001D6A3B" w:rsidTr="001D6A3B">
        <w:tc>
          <w:tcPr>
            <w:tcW w:w="8364"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 xml:space="preserve">Theme  </w:t>
            </w:r>
            <w:r w:rsidRPr="001D6A3B">
              <w:rPr>
                <w:rFonts w:ascii="Times New Roman" w:hAnsi="Times New Roman" w:cs="Times New Roman"/>
                <w:sz w:val="28"/>
                <w:szCs w:val="28"/>
                <w:lang w:val="kk-KZ"/>
              </w:rPr>
              <w:t>2.</w:t>
            </w:r>
            <w:r w:rsidRPr="001D6A3B">
              <w:rPr>
                <w:rFonts w:ascii="Times New Roman" w:hAnsi="Times New Roman" w:cs="Times New Roman"/>
                <w:bCs/>
                <w:color w:val="000000"/>
                <w:sz w:val="28"/>
                <w:szCs w:val="28"/>
                <w:lang w:val="en-US"/>
              </w:rPr>
              <w:t xml:space="preserve"> </w:t>
            </w:r>
            <w:r w:rsidRPr="001D6A3B">
              <w:rPr>
                <w:rFonts w:ascii="Times New Roman" w:eastAsiaTheme="minorHAnsi" w:hAnsi="Times New Roman" w:cs="Times New Roman"/>
                <w:sz w:val="28"/>
                <w:szCs w:val="28"/>
                <w:lang w:val="en-US" w:eastAsia="en-US"/>
              </w:rPr>
              <w:t>Concept of Public Finance</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22</w:t>
            </w:r>
          </w:p>
        </w:tc>
      </w:tr>
      <w:tr w:rsidR="008E2EAF" w:rsidRPr="001D6A3B" w:rsidTr="001D6A3B">
        <w:tc>
          <w:tcPr>
            <w:tcW w:w="8364"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Theme 3. Economic integration processes in Kazakhstan</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41</w:t>
            </w:r>
          </w:p>
        </w:tc>
      </w:tr>
      <w:tr w:rsidR="008E2EAF" w:rsidRPr="001D6A3B" w:rsidTr="001D6A3B">
        <w:tc>
          <w:tcPr>
            <w:tcW w:w="8364"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 xml:space="preserve">Theme 4. </w:t>
            </w:r>
            <w:r w:rsidRPr="001D6A3B">
              <w:rPr>
                <w:rFonts w:ascii="Times New Roman" w:hAnsi="Times New Roman" w:cs="Times New Roman"/>
                <w:bCs/>
                <w:color w:val="000000"/>
                <w:sz w:val="28"/>
                <w:szCs w:val="28"/>
                <w:lang w:val="en-US"/>
              </w:rPr>
              <w:t>Organization of public finance in the US</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44</w:t>
            </w:r>
          </w:p>
        </w:tc>
      </w:tr>
      <w:tr w:rsidR="008E2EAF" w:rsidRPr="001D6A3B" w:rsidTr="001D6A3B">
        <w:tc>
          <w:tcPr>
            <w:tcW w:w="8364" w:type="dxa"/>
          </w:tcPr>
          <w:p w:rsidR="008E2EAF" w:rsidRPr="001D6A3B" w:rsidRDefault="008E2EAF" w:rsidP="00CA346A">
            <w:pPr>
              <w:rPr>
                <w:rFonts w:ascii="Times New Roman" w:hAnsi="Times New Roman" w:cs="Times New Roman"/>
                <w:sz w:val="28"/>
                <w:szCs w:val="28"/>
                <w:lang w:val="en-US"/>
              </w:rPr>
            </w:pPr>
            <w:r w:rsidRPr="001D6A3B">
              <w:rPr>
                <w:rStyle w:val="hps"/>
                <w:rFonts w:ascii="Times New Roman" w:hAnsi="Times New Roman" w:cs="Times New Roman"/>
                <w:sz w:val="28"/>
                <w:szCs w:val="28"/>
                <w:lang w:val="en-US"/>
              </w:rPr>
              <w:t>Theme 5.</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The financial system</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and financial policy</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of Germany</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63</w:t>
            </w:r>
          </w:p>
        </w:tc>
      </w:tr>
      <w:tr w:rsidR="008E2EAF" w:rsidRPr="001D6A3B" w:rsidTr="001D6A3B">
        <w:tc>
          <w:tcPr>
            <w:tcW w:w="8364" w:type="dxa"/>
          </w:tcPr>
          <w:p w:rsidR="008E2EAF" w:rsidRPr="001D6A3B" w:rsidRDefault="008E2EAF" w:rsidP="00CA346A">
            <w:pPr>
              <w:rPr>
                <w:rFonts w:ascii="Times New Roman" w:hAnsi="Times New Roman" w:cs="Times New Roman"/>
                <w:sz w:val="28"/>
                <w:szCs w:val="28"/>
                <w:lang w:val="en-US"/>
              </w:rPr>
            </w:pPr>
            <w:r w:rsidRPr="001D6A3B">
              <w:rPr>
                <w:rStyle w:val="hps"/>
                <w:rFonts w:ascii="Times New Roman" w:hAnsi="Times New Roman" w:cs="Times New Roman"/>
                <w:sz w:val="28"/>
                <w:szCs w:val="28"/>
                <w:lang w:val="en-US"/>
              </w:rPr>
              <w:t>Theme 6.</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Fundamentals of</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the operation</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of public finances</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of France</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68</w:t>
            </w:r>
          </w:p>
        </w:tc>
      </w:tr>
      <w:tr w:rsidR="008E2EAF" w:rsidRPr="001D6A3B" w:rsidTr="001D6A3B">
        <w:tc>
          <w:tcPr>
            <w:tcW w:w="8364" w:type="dxa"/>
          </w:tcPr>
          <w:p w:rsidR="008E2EAF" w:rsidRPr="001D6A3B" w:rsidRDefault="008E2EAF" w:rsidP="00CA346A">
            <w:pPr>
              <w:rPr>
                <w:rFonts w:ascii="Times New Roman" w:hAnsi="Times New Roman" w:cs="Times New Roman"/>
                <w:sz w:val="28"/>
                <w:szCs w:val="28"/>
                <w:lang w:val="en-US"/>
              </w:rPr>
            </w:pPr>
            <w:r w:rsidRPr="001D6A3B">
              <w:rPr>
                <w:rStyle w:val="hps"/>
                <w:rFonts w:ascii="Times New Roman" w:hAnsi="Times New Roman" w:cs="Times New Roman"/>
                <w:sz w:val="28"/>
                <w:szCs w:val="28"/>
                <w:lang w:val="en-US"/>
              </w:rPr>
              <w:t>Theme 7.</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The financial</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system of</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the United Kingdom</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83</w:t>
            </w:r>
          </w:p>
        </w:tc>
      </w:tr>
      <w:tr w:rsidR="008E2EAF" w:rsidRPr="001D6A3B" w:rsidTr="001D6A3B">
        <w:tc>
          <w:tcPr>
            <w:tcW w:w="8364" w:type="dxa"/>
          </w:tcPr>
          <w:p w:rsidR="008E2EAF" w:rsidRPr="001D6A3B" w:rsidRDefault="008E2EAF" w:rsidP="00CA346A">
            <w:pPr>
              <w:rPr>
                <w:rStyle w:val="hps"/>
                <w:rFonts w:ascii="Times New Roman" w:hAnsi="Times New Roman" w:cs="Times New Roman"/>
                <w:sz w:val="28"/>
                <w:szCs w:val="28"/>
                <w:lang w:val="en-US"/>
              </w:rPr>
            </w:pPr>
            <w:r w:rsidRPr="001D6A3B">
              <w:rPr>
                <w:rStyle w:val="hps"/>
                <w:rFonts w:ascii="Times New Roman" w:hAnsi="Times New Roman" w:cs="Times New Roman"/>
                <w:sz w:val="28"/>
                <w:szCs w:val="28"/>
                <w:lang w:val="en-US"/>
              </w:rPr>
              <w:t>Theme 8.</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Features of</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Canada's</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financial system</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95</w:t>
            </w:r>
          </w:p>
        </w:tc>
      </w:tr>
      <w:tr w:rsidR="008E2EAF" w:rsidRPr="001D6A3B" w:rsidTr="001D6A3B">
        <w:tc>
          <w:tcPr>
            <w:tcW w:w="8364" w:type="dxa"/>
          </w:tcPr>
          <w:p w:rsidR="008E2EAF" w:rsidRPr="001D6A3B" w:rsidRDefault="008E2EAF" w:rsidP="00CA346A">
            <w:pPr>
              <w:rPr>
                <w:rStyle w:val="hps"/>
                <w:rFonts w:ascii="Times New Roman" w:hAnsi="Times New Roman" w:cs="Times New Roman"/>
                <w:sz w:val="28"/>
                <w:szCs w:val="28"/>
                <w:lang w:val="en-US"/>
              </w:rPr>
            </w:pPr>
            <w:r w:rsidRPr="001D6A3B">
              <w:rPr>
                <w:rFonts w:ascii="Times New Roman" w:hAnsi="Times New Roman" w:cs="Times New Roman"/>
                <w:sz w:val="28"/>
                <w:szCs w:val="28"/>
                <w:lang w:val="en-US"/>
              </w:rPr>
              <w:t>Theme 9. Organization of the Japan financial system</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110</w:t>
            </w:r>
          </w:p>
        </w:tc>
      </w:tr>
      <w:tr w:rsidR="008E2EAF" w:rsidRPr="001D6A3B" w:rsidTr="001D6A3B">
        <w:tc>
          <w:tcPr>
            <w:tcW w:w="8364" w:type="dxa"/>
          </w:tcPr>
          <w:p w:rsidR="008E2EAF" w:rsidRPr="001D6A3B" w:rsidRDefault="008E2EAF" w:rsidP="00CA346A">
            <w:pPr>
              <w:rPr>
                <w:rStyle w:val="hps"/>
                <w:rFonts w:ascii="Times New Roman" w:hAnsi="Times New Roman" w:cs="Times New Roman"/>
                <w:sz w:val="28"/>
                <w:szCs w:val="28"/>
                <w:lang w:val="en-US"/>
              </w:rPr>
            </w:pPr>
            <w:r w:rsidRPr="001D6A3B">
              <w:rPr>
                <w:rStyle w:val="hps"/>
                <w:rFonts w:ascii="Times New Roman" w:hAnsi="Times New Roman" w:cs="Times New Roman"/>
                <w:sz w:val="28"/>
                <w:szCs w:val="28"/>
                <w:lang w:val="en-US"/>
              </w:rPr>
              <w:t>Theme</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10.</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The organization</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of the financial system</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of the People's</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Republic</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of China</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115</w:t>
            </w:r>
          </w:p>
        </w:tc>
      </w:tr>
      <w:tr w:rsidR="008E2EAF" w:rsidRPr="001D6A3B" w:rsidTr="001D6A3B">
        <w:tc>
          <w:tcPr>
            <w:tcW w:w="8364" w:type="dxa"/>
          </w:tcPr>
          <w:p w:rsidR="008E2EAF" w:rsidRPr="001D6A3B" w:rsidRDefault="008E2EAF" w:rsidP="00CA346A">
            <w:pPr>
              <w:rPr>
                <w:rStyle w:val="hps"/>
                <w:rFonts w:ascii="Times New Roman" w:hAnsi="Times New Roman" w:cs="Times New Roman"/>
                <w:sz w:val="28"/>
                <w:szCs w:val="28"/>
                <w:lang w:val="en-US"/>
              </w:rPr>
            </w:pPr>
            <w:r w:rsidRPr="001D6A3B">
              <w:rPr>
                <w:rStyle w:val="hps"/>
                <w:rFonts w:ascii="Times New Roman" w:hAnsi="Times New Roman" w:cs="Times New Roman"/>
                <w:sz w:val="28"/>
                <w:szCs w:val="28"/>
                <w:lang w:val="en-US"/>
              </w:rPr>
              <w:t>Theme</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11.</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The financial</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system</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of Singapore</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130</w:t>
            </w:r>
          </w:p>
        </w:tc>
      </w:tr>
      <w:tr w:rsidR="008E2EAF" w:rsidRPr="001D6A3B" w:rsidTr="001D6A3B">
        <w:tc>
          <w:tcPr>
            <w:tcW w:w="8364" w:type="dxa"/>
          </w:tcPr>
          <w:p w:rsidR="008E2EAF" w:rsidRPr="001D6A3B" w:rsidRDefault="008E2EAF" w:rsidP="00CA346A">
            <w:pPr>
              <w:rPr>
                <w:rStyle w:val="hps"/>
                <w:rFonts w:ascii="Times New Roman" w:hAnsi="Times New Roman" w:cs="Times New Roman"/>
                <w:sz w:val="28"/>
                <w:szCs w:val="28"/>
                <w:lang w:val="en-US"/>
              </w:rPr>
            </w:pPr>
            <w:r w:rsidRPr="001D6A3B">
              <w:rPr>
                <w:rStyle w:val="hps"/>
                <w:rFonts w:ascii="Times New Roman" w:hAnsi="Times New Roman" w:cs="Times New Roman"/>
                <w:sz w:val="28"/>
                <w:szCs w:val="28"/>
                <w:lang w:val="en-US"/>
              </w:rPr>
              <w:t>Theme</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12.</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The financial</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system</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of the Russian Federation</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144</w:t>
            </w:r>
          </w:p>
        </w:tc>
      </w:tr>
      <w:tr w:rsidR="008E2EAF" w:rsidRPr="001D6A3B" w:rsidTr="001D6A3B">
        <w:tc>
          <w:tcPr>
            <w:tcW w:w="8364" w:type="dxa"/>
          </w:tcPr>
          <w:p w:rsidR="008E2EAF" w:rsidRPr="001D6A3B" w:rsidRDefault="001D6A3B" w:rsidP="001D6A3B">
            <w:pPr>
              <w:rPr>
                <w:rStyle w:val="hps"/>
                <w:rFonts w:ascii="Times New Roman" w:hAnsi="Times New Roman" w:cs="Times New Roman"/>
                <w:sz w:val="28"/>
                <w:szCs w:val="28"/>
                <w:lang w:val="en-US"/>
              </w:rPr>
            </w:pPr>
            <w:r w:rsidRPr="001D6A3B">
              <w:rPr>
                <w:rStyle w:val="hps"/>
                <w:rFonts w:ascii="Times New Roman" w:hAnsi="Times New Roman" w:cs="Times New Roman"/>
                <w:sz w:val="28"/>
                <w:szCs w:val="28"/>
                <w:lang w:val="en-US"/>
              </w:rPr>
              <w:t>Theme 13. The financial system of Ukrain and Belarus</w:t>
            </w:r>
          </w:p>
        </w:tc>
        <w:tc>
          <w:tcPr>
            <w:tcW w:w="826" w:type="dxa"/>
          </w:tcPr>
          <w:p w:rsidR="008E2EAF" w:rsidRPr="001D6A3B" w:rsidRDefault="001D6A3B"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160</w:t>
            </w:r>
          </w:p>
        </w:tc>
      </w:tr>
      <w:tr w:rsidR="008E2EAF" w:rsidRPr="001D6A3B" w:rsidTr="001D6A3B">
        <w:tc>
          <w:tcPr>
            <w:tcW w:w="8364" w:type="dxa"/>
          </w:tcPr>
          <w:p w:rsidR="008E2EAF" w:rsidRPr="001D6A3B" w:rsidRDefault="008E2EAF" w:rsidP="00CA346A">
            <w:pPr>
              <w:rPr>
                <w:rStyle w:val="hps"/>
                <w:rFonts w:ascii="Times New Roman" w:hAnsi="Times New Roman" w:cs="Times New Roman"/>
                <w:sz w:val="28"/>
                <w:szCs w:val="28"/>
                <w:lang w:val="en-US"/>
              </w:rPr>
            </w:pPr>
            <w:r w:rsidRPr="001D6A3B">
              <w:rPr>
                <w:rStyle w:val="hps"/>
                <w:rFonts w:ascii="Times New Roman" w:hAnsi="Times New Roman" w:cs="Times New Roman"/>
                <w:sz w:val="28"/>
                <w:szCs w:val="28"/>
                <w:lang w:val="en-US"/>
              </w:rPr>
              <w:t>Theme</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14. Basic</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features and characteristics of</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the financial systems</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of the Central Asian</w:t>
            </w:r>
            <w:r w:rsidRPr="001D6A3B">
              <w:rPr>
                <w:rFonts w:ascii="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Republics</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175</w:t>
            </w:r>
          </w:p>
        </w:tc>
      </w:tr>
      <w:tr w:rsidR="008E2EAF" w:rsidRPr="001D6A3B" w:rsidTr="001D6A3B">
        <w:tc>
          <w:tcPr>
            <w:tcW w:w="8364" w:type="dxa"/>
          </w:tcPr>
          <w:p w:rsidR="008E2EAF" w:rsidRPr="001D6A3B" w:rsidRDefault="008E2EAF" w:rsidP="00CA346A">
            <w:pPr>
              <w:rPr>
                <w:rStyle w:val="hps"/>
                <w:rFonts w:ascii="Times New Roman" w:hAnsi="Times New Roman" w:cs="Times New Roman"/>
                <w:sz w:val="28"/>
                <w:szCs w:val="28"/>
                <w:lang w:val="en-US"/>
              </w:rPr>
            </w:pPr>
            <w:r w:rsidRPr="001D6A3B">
              <w:rPr>
                <w:rStyle w:val="hps"/>
                <w:rFonts w:ascii="Times New Roman" w:hAnsi="Times New Roman" w:cs="Times New Roman"/>
                <w:sz w:val="28"/>
                <w:szCs w:val="28"/>
                <w:lang w:val="en-US"/>
              </w:rPr>
              <w:t>Theme</w:t>
            </w:r>
            <w:r w:rsidRPr="001D6A3B">
              <w:rPr>
                <w:rFonts w:ascii="Times New Roman" w:eastAsia="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15.</w:t>
            </w:r>
            <w:r w:rsidRPr="001D6A3B">
              <w:rPr>
                <w:rFonts w:ascii="Times New Roman" w:eastAsia="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Characteristics of some</w:t>
            </w:r>
            <w:r w:rsidRPr="001D6A3B">
              <w:rPr>
                <w:rFonts w:ascii="Times New Roman" w:eastAsia="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developed countries,</w:t>
            </w:r>
            <w:r w:rsidRPr="001D6A3B">
              <w:rPr>
                <w:rFonts w:ascii="Times New Roman" w:eastAsia="Times New Roman" w:hAnsi="Times New Roman" w:cs="Times New Roman"/>
                <w:sz w:val="28"/>
                <w:szCs w:val="28"/>
                <w:lang w:val="en-US"/>
              </w:rPr>
              <w:t xml:space="preserve"> </w:t>
            </w:r>
            <w:r w:rsidRPr="001D6A3B">
              <w:rPr>
                <w:rStyle w:val="hps"/>
                <w:rFonts w:ascii="Times New Roman" w:hAnsi="Times New Roman" w:cs="Times New Roman"/>
                <w:sz w:val="28"/>
                <w:szCs w:val="28"/>
                <w:lang w:val="en-US"/>
              </w:rPr>
              <w:t>the financial system</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194</w:t>
            </w:r>
          </w:p>
        </w:tc>
      </w:tr>
      <w:tr w:rsidR="008E2EAF" w:rsidRPr="001D6A3B" w:rsidTr="001D6A3B">
        <w:tc>
          <w:tcPr>
            <w:tcW w:w="8364" w:type="dxa"/>
          </w:tcPr>
          <w:p w:rsidR="008E2EAF" w:rsidRPr="001D6A3B" w:rsidRDefault="008E2EAF" w:rsidP="00CA346A">
            <w:pPr>
              <w:rPr>
                <w:rStyle w:val="hps"/>
                <w:rFonts w:ascii="Times New Roman" w:hAnsi="Times New Roman" w:cs="Times New Roman"/>
                <w:sz w:val="28"/>
                <w:szCs w:val="28"/>
                <w:lang w:val="en-US"/>
              </w:rPr>
            </w:pPr>
            <w:r w:rsidRPr="001D6A3B">
              <w:rPr>
                <w:rFonts w:ascii="Times New Roman" w:hAnsi="Times New Roman" w:cs="Times New Roman"/>
                <w:sz w:val="28"/>
                <w:szCs w:val="28"/>
                <w:lang w:val="en-US"/>
              </w:rPr>
              <w:t>References</w:t>
            </w:r>
          </w:p>
        </w:tc>
        <w:tc>
          <w:tcPr>
            <w:tcW w:w="826" w:type="dxa"/>
          </w:tcPr>
          <w:p w:rsidR="008E2EAF" w:rsidRPr="001D6A3B" w:rsidRDefault="008E2EAF" w:rsidP="00CA346A">
            <w:pPr>
              <w:rPr>
                <w:rFonts w:ascii="Times New Roman" w:hAnsi="Times New Roman" w:cs="Times New Roman"/>
                <w:sz w:val="28"/>
                <w:szCs w:val="28"/>
                <w:lang w:val="en-US"/>
              </w:rPr>
            </w:pPr>
            <w:r w:rsidRPr="001D6A3B">
              <w:rPr>
                <w:rFonts w:ascii="Times New Roman" w:hAnsi="Times New Roman" w:cs="Times New Roman"/>
                <w:sz w:val="28"/>
                <w:szCs w:val="28"/>
                <w:lang w:val="en-US"/>
              </w:rPr>
              <w:t>197</w:t>
            </w:r>
          </w:p>
        </w:tc>
      </w:tr>
    </w:tbl>
    <w:p w:rsidR="008E2EAF" w:rsidRPr="0068182D" w:rsidRDefault="008E2EAF" w:rsidP="00CA346A">
      <w:pPr>
        <w:spacing w:after="0" w:line="240" w:lineRule="auto"/>
        <w:rPr>
          <w:rFonts w:ascii="Times New Roman" w:hAnsi="Times New Roman" w:cs="Times New Roman"/>
          <w:sz w:val="28"/>
          <w:szCs w:val="28"/>
          <w:lang w:val="en-US"/>
        </w:rPr>
      </w:pPr>
    </w:p>
    <w:p w:rsidR="00CA346A" w:rsidRPr="0068182D" w:rsidRDefault="00CA346A" w:rsidP="00CA346A">
      <w:pPr>
        <w:spacing w:after="0" w:line="240" w:lineRule="auto"/>
        <w:rPr>
          <w:rFonts w:ascii="Times New Roman" w:hAnsi="Times New Roman" w:cs="Times New Roman"/>
          <w:sz w:val="28"/>
          <w:szCs w:val="28"/>
          <w:lang w:val="en-US"/>
        </w:rPr>
      </w:pPr>
    </w:p>
    <w:p w:rsidR="00CA346A" w:rsidRPr="0068182D" w:rsidRDefault="00CA346A" w:rsidP="00CA346A">
      <w:pPr>
        <w:spacing w:after="0" w:line="240" w:lineRule="auto"/>
        <w:rPr>
          <w:rFonts w:ascii="Times New Roman" w:hAnsi="Times New Roman" w:cs="Times New Roman"/>
          <w:sz w:val="28"/>
          <w:szCs w:val="28"/>
          <w:lang w:val="en-US"/>
        </w:rPr>
      </w:pPr>
    </w:p>
    <w:p w:rsidR="00CA346A" w:rsidRPr="0068182D" w:rsidRDefault="00CA346A" w:rsidP="00CA346A">
      <w:pPr>
        <w:spacing w:after="0" w:line="240" w:lineRule="auto"/>
        <w:rPr>
          <w:rFonts w:ascii="Times New Roman" w:hAnsi="Times New Roman" w:cs="Times New Roman"/>
          <w:sz w:val="28"/>
          <w:szCs w:val="28"/>
          <w:lang w:val="en-US"/>
        </w:rPr>
      </w:pPr>
    </w:p>
    <w:p w:rsidR="00CA346A" w:rsidRPr="0068182D" w:rsidRDefault="00CA346A" w:rsidP="00CA346A">
      <w:pPr>
        <w:spacing w:after="0" w:line="240" w:lineRule="auto"/>
        <w:rPr>
          <w:rFonts w:ascii="Times New Roman" w:hAnsi="Times New Roman" w:cs="Times New Roman"/>
          <w:sz w:val="28"/>
          <w:szCs w:val="28"/>
          <w:lang w:val="en-US"/>
        </w:rPr>
      </w:pPr>
    </w:p>
    <w:p w:rsidR="00CA346A" w:rsidRPr="0068182D" w:rsidRDefault="00CA346A" w:rsidP="00CA346A">
      <w:pPr>
        <w:spacing w:after="0" w:line="240" w:lineRule="auto"/>
        <w:rPr>
          <w:rFonts w:ascii="Times New Roman" w:hAnsi="Times New Roman" w:cs="Times New Roman"/>
          <w:sz w:val="28"/>
          <w:szCs w:val="28"/>
          <w:lang w:val="en-US"/>
        </w:rPr>
      </w:pPr>
    </w:p>
    <w:p w:rsidR="00CA346A" w:rsidRPr="0068182D" w:rsidRDefault="00CA346A" w:rsidP="00CA346A">
      <w:pPr>
        <w:spacing w:after="0" w:line="240" w:lineRule="auto"/>
        <w:rPr>
          <w:rFonts w:ascii="Times New Roman" w:hAnsi="Times New Roman" w:cs="Times New Roman"/>
          <w:sz w:val="28"/>
          <w:szCs w:val="28"/>
          <w:lang w:val="en-US"/>
        </w:rPr>
      </w:pPr>
    </w:p>
    <w:p w:rsidR="00CA346A" w:rsidRPr="0068182D" w:rsidRDefault="00CA346A" w:rsidP="00CA346A">
      <w:pPr>
        <w:spacing w:after="0" w:line="240" w:lineRule="auto"/>
        <w:rPr>
          <w:rFonts w:ascii="Times New Roman" w:hAnsi="Times New Roman" w:cs="Times New Roman"/>
          <w:sz w:val="28"/>
          <w:szCs w:val="28"/>
          <w:lang w:val="en-US"/>
        </w:rPr>
      </w:pPr>
    </w:p>
    <w:p w:rsidR="00CA346A" w:rsidRPr="0068182D" w:rsidRDefault="00CA346A" w:rsidP="00CA346A">
      <w:pPr>
        <w:spacing w:after="0" w:line="240" w:lineRule="auto"/>
        <w:rPr>
          <w:rFonts w:ascii="Times New Roman" w:hAnsi="Times New Roman" w:cs="Times New Roman"/>
          <w:sz w:val="28"/>
          <w:szCs w:val="28"/>
          <w:lang w:val="en-US"/>
        </w:rPr>
      </w:pPr>
    </w:p>
    <w:p w:rsidR="001C3A7D" w:rsidRDefault="001C3A7D"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056E7" w:rsidRDefault="007056E7" w:rsidP="00CA346A">
      <w:pPr>
        <w:spacing w:after="0" w:line="240" w:lineRule="auto"/>
        <w:rPr>
          <w:rFonts w:ascii="Times New Roman" w:hAnsi="Times New Roman" w:cs="Times New Roman"/>
          <w:sz w:val="28"/>
          <w:szCs w:val="28"/>
          <w:lang w:val="en-US"/>
        </w:rPr>
      </w:pPr>
    </w:p>
    <w:p w:rsidR="00784BCE" w:rsidRDefault="00784BCE" w:rsidP="00DB470D">
      <w:pPr>
        <w:keepNext/>
        <w:keepLines/>
        <w:jc w:val="both"/>
        <w:rPr>
          <w:sz w:val="28"/>
          <w:szCs w:val="28"/>
          <w:lang w:val="en-US"/>
        </w:rPr>
      </w:pPr>
    </w:p>
    <w:p w:rsidR="00784BCE" w:rsidRDefault="00784BCE" w:rsidP="00DB470D">
      <w:pPr>
        <w:keepNext/>
        <w:keepLines/>
        <w:jc w:val="both"/>
        <w:rPr>
          <w:sz w:val="28"/>
          <w:szCs w:val="28"/>
          <w:lang w:val="en-US"/>
        </w:rPr>
      </w:pPr>
    </w:p>
    <w:p w:rsidR="00784BCE" w:rsidRDefault="00784BCE" w:rsidP="00DB470D">
      <w:pPr>
        <w:keepNext/>
        <w:keepLines/>
        <w:jc w:val="both"/>
        <w:rPr>
          <w:sz w:val="28"/>
          <w:szCs w:val="28"/>
          <w:lang w:val="en-US"/>
        </w:rPr>
      </w:pPr>
    </w:p>
    <w:p w:rsidR="00784BCE" w:rsidRDefault="00784BCE" w:rsidP="00DB470D">
      <w:pPr>
        <w:keepNext/>
        <w:keepLines/>
        <w:jc w:val="both"/>
        <w:rPr>
          <w:sz w:val="28"/>
          <w:szCs w:val="28"/>
          <w:lang w:val="en-US"/>
        </w:rPr>
      </w:pPr>
    </w:p>
    <w:p w:rsidR="00DB470D" w:rsidRPr="00DB470D" w:rsidRDefault="00DB470D" w:rsidP="00DB470D">
      <w:pPr>
        <w:tabs>
          <w:tab w:val="left" w:pos="0"/>
        </w:tabs>
        <w:spacing w:after="0" w:line="240" w:lineRule="auto"/>
        <w:jc w:val="center"/>
        <w:rPr>
          <w:rFonts w:ascii="Times New Roman" w:hAnsi="Times New Roman" w:cs="Times New Roman"/>
          <w:sz w:val="28"/>
          <w:szCs w:val="28"/>
          <w:lang w:val="en-US"/>
        </w:rPr>
      </w:pPr>
      <w:r w:rsidRPr="00DB470D">
        <w:rPr>
          <w:rFonts w:ascii="Times New Roman" w:hAnsi="Times New Roman" w:cs="Times New Roman"/>
          <w:sz w:val="28"/>
          <w:szCs w:val="28"/>
          <w:lang w:val="en-US"/>
        </w:rPr>
        <w:t>Gulmira Kuzdeualiyevna Issayeva</w:t>
      </w:r>
    </w:p>
    <w:p w:rsidR="00DB470D" w:rsidRPr="00DB470D" w:rsidRDefault="00DB470D" w:rsidP="00DB470D">
      <w:pPr>
        <w:tabs>
          <w:tab w:val="left" w:pos="3307"/>
        </w:tabs>
        <w:spacing w:after="0" w:line="240" w:lineRule="auto"/>
        <w:rPr>
          <w:rFonts w:ascii="Times New Roman" w:hAnsi="Times New Roman" w:cs="Times New Roman"/>
          <w:sz w:val="28"/>
          <w:szCs w:val="28"/>
          <w:lang w:val="en-US"/>
        </w:rPr>
      </w:pPr>
    </w:p>
    <w:p w:rsidR="00DB470D" w:rsidRPr="00DB470D" w:rsidRDefault="00DB470D" w:rsidP="00DB470D">
      <w:pPr>
        <w:tabs>
          <w:tab w:val="left" w:pos="3307"/>
        </w:tabs>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Finance of foreign countries</w:t>
      </w:r>
    </w:p>
    <w:p w:rsidR="00DB470D" w:rsidRPr="00DB470D" w:rsidRDefault="00DB470D" w:rsidP="00DB470D">
      <w:pPr>
        <w:tabs>
          <w:tab w:val="left" w:pos="3307"/>
        </w:tabs>
        <w:spacing w:after="0" w:line="240" w:lineRule="auto"/>
        <w:jc w:val="center"/>
        <w:rPr>
          <w:rFonts w:ascii="Times New Roman" w:hAnsi="Times New Roman" w:cs="Times New Roman"/>
          <w:sz w:val="28"/>
          <w:szCs w:val="28"/>
          <w:lang w:val="en-US"/>
        </w:rPr>
      </w:pPr>
      <w:r w:rsidRPr="00DB470D">
        <w:rPr>
          <w:rFonts w:ascii="Times New Roman" w:hAnsi="Times New Roman" w:cs="Times New Roman"/>
          <w:sz w:val="28"/>
          <w:szCs w:val="28"/>
          <w:lang w:val="en-US"/>
        </w:rPr>
        <w:t>Textbook</w:t>
      </w:r>
    </w:p>
    <w:p w:rsidR="00DB470D" w:rsidRPr="00DB470D" w:rsidRDefault="00DB470D" w:rsidP="00DB470D">
      <w:pPr>
        <w:tabs>
          <w:tab w:val="left" w:pos="3307"/>
        </w:tabs>
        <w:spacing w:after="0" w:line="240" w:lineRule="auto"/>
        <w:jc w:val="center"/>
        <w:rPr>
          <w:rFonts w:ascii="Times New Roman" w:hAnsi="Times New Roman" w:cs="Times New Roman"/>
          <w:sz w:val="28"/>
          <w:szCs w:val="28"/>
          <w:lang w:val="en-US"/>
        </w:rPr>
      </w:pPr>
    </w:p>
    <w:p w:rsidR="00DB470D" w:rsidRPr="00DB470D" w:rsidRDefault="00DB470D" w:rsidP="00DB470D">
      <w:pPr>
        <w:tabs>
          <w:tab w:val="left" w:pos="3307"/>
        </w:tabs>
        <w:spacing w:after="0" w:line="240" w:lineRule="auto"/>
        <w:jc w:val="center"/>
        <w:rPr>
          <w:rFonts w:ascii="Times New Roman" w:hAnsi="Times New Roman" w:cs="Times New Roman"/>
          <w:sz w:val="28"/>
          <w:szCs w:val="28"/>
          <w:lang w:val="en-US"/>
        </w:rPr>
      </w:pPr>
    </w:p>
    <w:p w:rsidR="00DB470D" w:rsidRPr="00DB470D" w:rsidRDefault="00DB470D" w:rsidP="00DB470D">
      <w:pPr>
        <w:tabs>
          <w:tab w:val="left" w:pos="3307"/>
        </w:tabs>
        <w:spacing w:after="0" w:line="240" w:lineRule="auto"/>
        <w:jc w:val="center"/>
        <w:rPr>
          <w:rFonts w:ascii="Times New Roman" w:hAnsi="Times New Roman" w:cs="Times New Roman"/>
          <w:sz w:val="28"/>
          <w:szCs w:val="28"/>
          <w:lang w:val="en-US"/>
        </w:rPr>
      </w:pPr>
      <w:r w:rsidRPr="00DB470D">
        <w:rPr>
          <w:rFonts w:ascii="Times New Roman" w:hAnsi="Times New Roman" w:cs="Times New Roman"/>
          <w:sz w:val="28"/>
          <w:szCs w:val="28"/>
          <w:lang w:val="en-US"/>
        </w:rPr>
        <w:t>Editor G.Orazaliyeva</w:t>
      </w:r>
    </w:p>
    <w:p w:rsidR="00DB470D" w:rsidRPr="00DB470D" w:rsidRDefault="00DB470D" w:rsidP="00DB470D">
      <w:pPr>
        <w:tabs>
          <w:tab w:val="left" w:pos="3307"/>
        </w:tabs>
        <w:spacing w:after="0" w:line="240" w:lineRule="auto"/>
        <w:jc w:val="center"/>
        <w:rPr>
          <w:rFonts w:ascii="Times New Roman" w:hAnsi="Times New Roman" w:cs="Times New Roman"/>
          <w:sz w:val="28"/>
          <w:szCs w:val="28"/>
          <w:lang w:val="en-US"/>
        </w:rPr>
      </w:pPr>
    </w:p>
    <w:p w:rsidR="00DB470D" w:rsidRPr="00DB470D" w:rsidRDefault="00DB470D" w:rsidP="00DB470D">
      <w:pPr>
        <w:tabs>
          <w:tab w:val="left" w:pos="3307"/>
        </w:tabs>
        <w:spacing w:after="0" w:line="240" w:lineRule="auto"/>
        <w:jc w:val="center"/>
        <w:rPr>
          <w:rFonts w:ascii="Times New Roman" w:hAnsi="Times New Roman" w:cs="Times New Roman"/>
          <w:sz w:val="28"/>
          <w:szCs w:val="28"/>
          <w:lang w:val="en-US"/>
        </w:rPr>
      </w:pPr>
      <w:r w:rsidRPr="00DB470D">
        <w:rPr>
          <w:rFonts w:ascii="Times New Roman" w:hAnsi="Times New Roman" w:cs="Times New Roman"/>
          <w:sz w:val="28"/>
          <w:szCs w:val="28"/>
          <w:lang w:val="en-US"/>
        </w:rPr>
        <w:t xml:space="preserve">Signed in print </w:t>
      </w:r>
      <w:r>
        <w:rPr>
          <w:rFonts w:ascii="Times New Roman" w:hAnsi="Times New Roman" w:cs="Times New Roman"/>
          <w:sz w:val="28"/>
          <w:szCs w:val="28"/>
          <w:lang w:val="en-US"/>
        </w:rPr>
        <w:t>“__”_____</w:t>
      </w:r>
      <w:r w:rsidRPr="00DB470D">
        <w:rPr>
          <w:rFonts w:ascii="Times New Roman" w:hAnsi="Times New Roman" w:cs="Times New Roman"/>
          <w:sz w:val="28"/>
          <w:szCs w:val="28"/>
          <w:lang w:val="en-US"/>
        </w:rPr>
        <w:t>2018</w:t>
      </w:r>
    </w:p>
    <w:p w:rsidR="00DB470D" w:rsidRPr="00DB470D" w:rsidRDefault="00DB470D" w:rsidP="00DB470D">
      <w:pPr>
        <w:tabs>
          <w:tab w:val="left" w:pos="3307"/>
        </w:tabs>
        <w:spacing w:after="0" w:line="240" w:lineRule="auto"/>
        <w:jc w:val="center"/>
        <w:rPr>
          <w:rFonts w:ascii="Times New Roman" w:hAnsi="Times New Roman" w:cs="Times New Roman"/>
          <w:sz w:val="28"/>
          <w:szCs w:val="28"/>
          <w:lang w:val="en-US"/>
        </w:rPr>
      </w:pPr>
      <w:r w:rsidRPr="00DB470D">
        <w:rPr>
          <w:rFonts w:ascii="Times New Roman" w:hAnsi="Times New Roman" w:cs="Times New Roman"/>
          <w:sz w:val="28"/>
          <w:szCs w:val="28"/>
          <w:lang w:val="en-US"/>
        </w:rPr>
        <w:t>Paper Size XxY 1/16</w:t>
      </w:r>
    </w:p>
    <w:p w:rsidR="00DB470D" w:rsidRPr="00DB470D" w:rsidRDefault="00DB470D" w:rsidP="00DB470D">
      <w:pPr>
        <w:tabs>
          <w:tab w:val="left" w:pos="3307"/>
        </w:tabs>
        <w:spacing w:after="0" w:line="240" w:lineRule="auto"/>
        <w:jc w:val="center"/>
        <w:rPr>
          <w:rFonts w:ascii="Times New Roman" w:hAnsi="Times New Roman" w:cs="Times New Roman"/>
          <w:sz w:val="28"/>
          <w:szCs w:val="28"/>
          <w:lang w:val="en-US"/>
        </w:rPr>
      </w:pPr>
      <w:r w:rsidRPr="00DB470D">
        <w:rPr>
          <w:rFonts w:ascii="Times New Roman" w:hAnsi="Times New Roman" w:cs="Times New Roman"/>
          <w:sz w:val="28"/>
          <w:szCs w:val="28"/>
          <w:lang w:val="en-US"/>
        </w:rPr>
        <w:t>Paper typographical. Offset printing. The volume of 1</w:t>
      </w:r>
      <w:r>
        <w:rPr>
          <w:rFonts w:ascii="Times New Roman" w:hAnsi="Times New Roman" w:cs="Times New Roman"/>
          <w:sz w:val="28"/>
          <w:szCs w:val="28"/>
          <w:lang w:val="en-US"/>
        </w:rPr>
        <w:t>2</w:t>
      </w:r>
      <w:r w:rsidRPr="00DB470D">
        <w:rPr>
          <w:rFonts w:ascii="Times New Roman" w:hAnsi="Times New Roman" w:cs="Times New Roman"/>
          <w:sz w:val="28"/>
          <w:szCs w:val="28"/>
          <w:lang w:val="en-US"/>
        </w:rPr>
        <w:t>,5 p.p.</w:t>
      </w:r>
    </w:p>
    <w:p w:rsidR="00DB470D" w:rsidRPr="00DB470D" w:rsidRDefault="00DB470D" w:rsidP="00DB470D">
      <w:pPr>
        <w:tabs>
          <w:tab w:val="left" w:pos="3307"/>
        </w:tabs>
        <w:spacing w:after="0" w:line="240" w:lineRule="auto"/>
        <w:jc w:val="center"/>
        <w:rPr>
          <w:rFonts w:ascii="Times New Roman" w:hAnsi="Times New Roman" w:cs="Times New Roman"/>
          <w:sz w:val="28"/>
          <w:szCs w:val="28"/>
          <w:lang w:val="en-US"/>
        </w:rPr>
      </w:pPr>
      <w:r w:rsidRPr="00DB470D">
        <w:rPr>
          <w:rFonts w:ascii="Times New Roman" w:hAnsi="Times New Roman" w:cs="Times New Roman"/>
          <w:sz w:val="28"/>
          <w:szCs w:val="28"/>
          <w:lang w:val="en-US"/>
        </w:rPr>
        <w:t>Circulation 100 ex. Order No. ...... *</w:t>
      </w: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r w:rsidRPr="00DB470D">
        <w:rPr>
          <w:rFonts w:ascii="Times New Roman" w:hAnsi="Times New Roman" w:cs="Times New Roman"/>
          <w:sz w:val="28"/>
          <w:szCs w:val="28"/>
          <w:lang w:val="en-US"/>
        </w:rPr>
        <w:t>© M.Auezov South-Kazakhstan State University</w:t>
      </w:r>
    </w:p>
    <w:p w:rsidR="00DB470D" w:rsidRPr="00DB470D" w:rsidRDefault="00DB470D" w:rsidP="00DB470D">
      <w:pPr>
        <w:spacing w:after="0" w:line="240" w:lineRule="auto"/>
        <w:ind w:firstLine="708"/>
        <w:rPr>
          <w:rFonts w:ascii="Times New Roman" w:hAnsi="Times New Roman" w:cs="Times New Roman"/>
          <w:sz w:val="28"/>
          <w:szCs w:val="28"/>
          <w:lang w:val="en-US"/>
        </w:rPr>
      </w:pPr>
    </w:p>
    <w:p w:rsidR="00DB470D" w:rsidRPr="00DB470D" w:rsidRDefault="00DB470D" w:rsidP="00DB470D">
      <w:pPr>
        <w:spacing w:after="0" w:line="240" w:lineRule="auto"/>
        <w:rPr>
          <w:rFonts w:ascii="Times New Roman" w:hAnsi="Times New Roman" w:cs="Times New Roman"/>
          <w:sz w:val="28"/>
          <w:szCs w:val="28"/>
          <w:lang w:val="en-US"/>
        </w:rPr>
      </w:pPr>
      <w:r w:rsidRPr="00DB470D">
        <w:rPr>
          <w:rFonts w:ascii="Times New Roman" w:hAnsi="Times New Roman" w:cs="Times New Roman"/>
          <w:sz w:val="28"/>
          <w:szCs w:val="28"/>
          <w:lang w:val="en-US"/>
        </w:rPr>
        <w:t>Publishing Center of M.Auezov SKSU, Shymkent, Tauke Khan Avenue, 5</w:t>
      </w:r>
    </w:p>
    <w:p w:rsidR="007056E7" w:rsidRPr="00DB470D" w:rsidRDefault="007056E7" w:rsidP="00DB470D">
      <w:pPr>
        <w:spacing w:after="0" w:line="240" w:lineRule="auto"/>
        <w:rPr>
          <w:rFonts w:ascii="Times New Roman" w:hAnsi="Times New Roman" w:cs="Times New Roman"/>
          <w:sz w:val="28"/>
          <w:szCs w:val="28"/>
          <w:lang w:val="en-US"/>
        </w:rPr>
      </w:pPr>
    </w:p>
    <w:sectPr w:rsidR="007056E7" w:rsidRPr="00DB470D" w:rsidSect="00306E0B">
      <w:footerReference w:type="default" r:id="rId703"/>
      <w:pgSz w:w="11906" w:h="16838"/>
      <w:pgMar w:top="1134" w:right="1134"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3454" w:rsidRDefault="00C63454" w:rsidP="00EC2893">
      <w:pPr>
        <w:spacing w:after="0" w:line="240" w:lineRule="auto"/>
      </w:pPr>
      <w:r>
        <w:separator/>
      </w:r>
    </w:p>
  </w:endnote>
  <w:endnote w:type="continuationSeparator" w:id="0">
    <w:p w:rsidR="00C63454" w:rsidRDefault="00C63454" w:rsidP="00EC28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024332"/>
      <w:docPartObj>
        <w:docPartGallery w:val="Page Numbers (Bottom of Page)"/>
        <w:docPartUnique/>
      </w:docPartObj>
    </w:sdtPr>
    <w:sdtContent>
      <w:p w:rsidR="008E2EAF" w:rsidRDefault="00CD577A">
        <w:pPr>
          <w:pStyle w:val="af"/>
          <w:jc w:val="center"/>
        </w:pPr>
        <w:fldSimple w:instr=" PAGE   \* MERGEFORMAT ">
          <w:r w:rsidR="00C63454">
            <w:rPr>
              <w:noProof/>
            </w:rPr>
            <w:t>1</w:t>
          </w:r>
        </w:fldSimple>
      </w:p>
    </w:sdtContent>
  </w:sdt>
  <w:p w:rsidR="008E2EAF" w:rsidRDefault="008E2EAF">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3454" w:rsidRDefault="00C63454" w:rsidP="00EC2893">
      <w:pPr>
        <w:spacing w:after="0" w:line="240" w:lineRule="auto"/>
      </w:pPr>
      <w:r>
        <w:separator/>
      </w:r>
    </w:p>
  </w:footnote>
  <w:footnote w:type="continuationSeparator" w:id="0">
    <w:p w:rsidR="00C63454" w:rsidRDefault="00C63454" w:rsidP="00EC289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C2B5D"/>
    <w:multiLevelType w:val="hybridMultilevel"/>
    <w:tmpl w:val="5420A2F6"/>
    <w:lvl w:ilvl="0" w:tplc="9028C65C">
      <w:start w:val="2"/>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09D6765A"/>
    <w:multiLevelType w:val="hybridMultilevel"/>
    <w:tmpl w:val="E56A97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3169C1"/>
    <w:multiLevelType w:val="hybridMultilevel"/>
    <w:tmpl w:val="5EE2A08C"/>
    <w:lvl w:ilvl="0" w:tplc="2A56834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F880B37"/>
    <w:multiLevelType w:val="multilevel"/>
    <w:tmpl w:val="C026E7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FDA601B"/>
    <w:multiLevelType w:val="hybridMultilevel"/>
    <w:tmpl w:val="DACA238C"/>
    <w:lvl w:ilvl="0" w:tplc="63EEF6C0">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5">
    <w:nsid w:val="1CAB14A7"/>
    <w:multiLevelType w:val="hybridMultilevel"/>
    <w:tmpl w:val="175C656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E914EA9"/>
    <w:multiLevelType w:val="hybridMultilevel"/>
    <w:tmpl w:val="F000B44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236E6C78"/>
    <w:multiLevelType w:val="multilevel"/>
    <w:tmpl w:val="F976E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2ABE7046"/>
    <w:multiLevelType w:val="multilevel"/>
    <w:tmpl w:val="ACE436B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0695F0B"/>
    <w:multiLevelType w:val="multilevel"/>
    <w:tmpl w:val="CAC68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5554195"/>
    <w:multiLevelType w:val="hybridMultilevel"/>
    <w:tmpl w:val="8A962E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39E96CA8"/>
    <w:multiLevelType w:val="multilevel"/>
    <w:tmpl w:val="5A88A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B5F750F"/>
    <w:multiLevelType w:val="hybridMultilevel"/>
    <w:tmpl w:val="1A84BAF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3BA74131"/>
    <w:multiLevelType w:val="hybridMultilevel"/>
    <w:tmpl w:val="78165D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2B72828"/>
    <w:multiLevelType w:val="hybridMultilevel"/>
    <w:tmpl w:val="E28E0B74"/>
    <w:lvl w:ilvl="0" w:tplc="E9B6A6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2F03E29"/>
    <w:multiLevelType w:val="hybridMultilevel"/>
    <w:tmpl w:val="9906156C"/>
    <w:lvl w:ilvl="0" w:tplc="ABDCC9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459F3502"/>
    <w:multiLevelType w:val="multilevel"/>
    <w:tmpl w:val="72965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C731745"/>
    <w:multiLevelType w:val="hybridMultilevel"/>
    <w:tmpl w:val="BE901C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50A74DE2"/>
    <w:multiLevelType w:val="hybridMultilevel"/>
    <w:tmpl w:val="1AAC9BBC"/>
    <w:lvl w:ilvl="0" w:tplc="18886D40">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512E1AA2"/>
    <w:multiLevelType w:val="multilevel"/>
    <w:tmpl w:val="01602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1671332"/>
    <w:multiLevelType w:val="hybridMultilevel"/>
    <w:tmpl w:val="24E60D78"/>
    <w:lvl w:ilvl="0" w:tplc="2AF2DED4">
      <w:start w:val="3"/>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1">
    <w:nsid w:val="52A255A3"/>
    <w:multiLevelType w:val="multilevel"/>
    <w:tmpl w:val="07DA9C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7801A09"/>
    <w:multiLevelType w:val="hybridMultilevel"/>
    <w:tmpl w:val="DF2C43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832499A"/>
    <w:multiLevelType w:val="multilevel"/>
    <w:tmpl w:val="B2C4B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C6736D9"/>
    <w:multiLevelType w:val="multilevel"/>
    <w:tmpl w:val="D4844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CF61859"/>
    <w:multiLevelType w:val="multilevel"/>
    <w:tmpl w:val="8FBEF7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5D827DFB"/>
    <w:multiLevelType w:val="hybridMultilevel"/>
    <w:tmpl w:val="C7C8F98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E4132FD"/>
    <w:multiLevelType w:val="hybridMultilevel"/>
    <w:tmpl w:val="BCD608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60D94160"/>
    <w:multiLevelType w:val="hybridMultilevel"/>
    <w:tmpl w:val="1ACC6C92"/>
    <w:lvl w:ilvl="0" w:tplc="75EEC6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61FA1258"/>
    <w:multiLevelType w:val="hybridMultilevel"/>
    <w:tmpl w:val="B4604704"/>
    <w:lvl w:ilvl="0" w:tplc="E84C2CFE">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2D97247"/>
    <w:multiLevelType w:val="multilevel"/>
    <w:tmpl w:val="A8C28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63B855ED"/>
    <w:multiLevelType w:val="hybridMultilevel"/>
    <w:tmpl w:val="372E40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3F862AD"/>
    <w:multiLevelType w:val="multilevel"/>
    <w:tmpl w:val="82266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6D40F66"/>
    <w:multiLevelType w:val="hybridMultilevel"/>
    <w:tmpl w:val="CA2EE6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8717FD8"/>
    <w:multiLevelType w:val="hybridMultilevel"/>
    <w:tmpl w:val="A7760A9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6EBA23DB"/>
    <w:multiLevelType w:val="hybridMultilevel"/>
    <w:tmpl w:val="05BA2874"/>
    <w:lvl w:ilvl="0" w:tplc="53FEADFA">
      <w:start w:val="1"/>
      <w:numFmt w:val="decimal"/>
      <w:lvlText w:val="%1."/>
      <w:lvlJc w:val="left"/>
      <w:pPr>
        <w:ind w:left="1069" w:hanging="360"/>
      </w:pPr>
      <w:rPr>
        <w:rFonts w:cstheme="minorBid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6F7702D5"/>
    <w:multiLevelType w:val="hybridMultilevel"/>
    <w:tmpl w:val="9558EB8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7">
    <w:nsid w:val="6FF4292F"/>
    <w:multiLevelType w:val="hybridMultilevel"/>
    <w:tmpl w:val="3D127092"/>
    <w:lvl w:ilvl="0" w:tplc="ABDCC900">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716044E0"/>
    <w:multiLevelType w:val="hybridMultilevel"/>
    <w:tmpl w:val="1AFCA6BA"/>
    <w:lvl w:ilvl="0" w:tplc="E05813C6">
      <w:start w:val="3"/>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730E28FF"/>
    <w:multiLevelType w:val="hybridMultilevel"/>
    <w:tmpl w:val="DE2E31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31C489B"/>
    <w:multiLevelType w:val="hybridMultilevel"/>
    <w:tmpl w:val="AA12FE60"/>
    <w:lvl w:ilvl="0" w:tplc="9BA0C11A">
      <w:start w:val="1"/>
      <w:numFmt w:val="decimal"/>
      <w:lvlText w:val="%1."/>
      <w:lvlJc w:val="left"/>
      <w:pPr>
        <w:ind w:left="3679" w:hanging="360"/>
      </w:pPr>
      <w:rPr>
        <w:rFonts w:hint="default"/>
      </w:rPr>
    </w:lvl>
    <w:lvl w:ilvl="1" w:tplc="04190019" w:tentative="1">
      <w:start w:val="1"/>
      <w:numFmt w:val="lowerLetter"/>
      <w:lvlText w:val="%2."/>
      <w:lvlJc w:val="left"/>
      <w:pPr>
        <w:ind w:left="4399" w:hanging="360"/>
      </w:pPr>
    </w:lvl>
    <w:lvl w:ilvl="2" w:tplc="0419001B" w:tentative="1">
      <w:start w:val="1"/>
      <w:numFmt w:val="lowerRoman"/>
      <w:lvlText w:val="%3."/>
      <w:lvlJc w:val="right"/>
      <w:pPr>
        <w:ind w:left="5119" w:hanging="180"/>
      </w:pPr>
    </w:lvl>
    <w:lvl w:ilvl="3" w:tplc="0419000F" w:tentative="1">
      <w:start w:val="1"/>
      <w:numFmt w:val="decimal"/>
      <w:lvlText w:val="%4."/>
      <w:lvlJc w:val="left"/>
      <w:pPr>
        <w:ind w:left="5839" w:hanging="360"/>
      </w:pPr>
    </w:lvl>
    <w:lvl w:ilvl="4" w:tplc="04190019" w:tentative="1">
      <w:start w:val="1"/>
      <w:numFmt w:val="lowerLetter"/>
      <w:lvlText w:val="%5."/>
      <w:lvlJc w:val="left"/>
      <w:pPr>
        <w:ind w:left="6559" w:hanging="360"/>
      </w:pPr>
    </w:lvl>
    <w:lvl w:ilvl="5" w:tplc="0419001B" w:tentative="1">
      <w:start w:val="1"/>
      <w:numFmt w:val="lowerRoman"/>
      <w:lvlText w:val="%6."/>
      <w:lvlJc w:val="right"/>
      <w:pPr>
        <w:ind w:left="7279" w:hanging="180"/>
      </w:pPr>
    </w:lvl>
    <w:lvl w:ilvl="6" w:tplc="0419000F" w:tentative="1">
      <w:start w:val="1"/>
      <w:numFmt w:val="decimal"/>
      <w:lvlText w:val="%7."/>
      <w:lvlJc w:val="left"/>
      <w:pPr>
        <w:ind w:left="7999" w:hanging="360"/>
      </w:pPr>
    </w:lvl>
    <w:lvl w:ilvl="7" w:tplc="04190019" w:tentative="1">
      <w:start w:val="1"/>
      <w:numFmt w:val="lowerLetter"/>
      <w:lvlText w:val="%8."/>
      <w:lvlJc w:val="left"/>
      <w:pPr>
        <w:ind w:left="8719" w:hanging="360"/>
      </w:pPr>
    </w:lvl>
    <w:lvl w:ilvl="8" w:tplc="0419001B" w:tentative="1">
      <w:start w:val="1"/>
      <w:numFmt w:val="lowerRoman"/>
      <w:lvlText w:val="%9."/>
      <w:lvlJc w:val="right"/>
      <w:pPr>
        <w:ind w:left="9439" w:hanging="180"/>
      </w:pPr>
    </w:lvl>
  </w:abstractNum>
  <w:abstractNum w:abstractNumId="41">
    <w:nsid w:val="734F6041"/>
    <w:multiLevelType w:val="hybridMultilevel"/>
    <w:tmpl w:val="9D30AB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3EB468B"/>
    <w:multiLevelType w:val="hybridMultilevel"/>
    <w:tmpl w:val="0D26CA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76695BEE"/>
    <w:multiLevelType w:val="multilevel"/>
    <w:tmpl w:val="158CE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69D3A5E"/>
    <w:multiLevelType w:val="multilevel"/>
    <w:tmpl w:val="E3AA8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77648B5"/>
    <w:multiLevelType w:val="multilevel"/>
    <w:tmpl w:val="13D40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78DB36F2"/>
    <w:multiLevelType w:val="hybridMultilevel"/>
    <w:tmpl w:val="559C948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nsid w:val="7B8D134D"/>
    <w:multiLevelType w:val="multilevel"/>
    <w:tmpl w:val="5EAA2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DEE719A"/>
    <w:multiLevelType w:val="hybridMultilevel"/>
    <w:tmpl w:val="CC80064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nsid w:val="7E584341"/>
    <w:multiLevelType w:val="multilevel"/>
    <w:tmpl w:val="8D184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5"/>
  </w:num>
  <w:num w:numId="2">
    <w:abstractNumId w:val="20"/>
  </w:num>
  <w:num w:numId="3">
    <w:abstractNumId w:val="17"/>
  </w:num>
  <w:num w:numId="4">
    <w:abstractNumId w:val="39"/>
  </w:num>
  <w:num w:numId="5">
    <w:abstractNumId w:val="42"/>
  </w:num>
  <w:num w:numId="6">
    <w:abstractNumId w:val="10"/>
  </w:num>
  <w:num w:numId="7">
    <w:abstractNumId w:val="0"/>
  </w:num>
  <w:num w:numId="8">
    <w:abstractNumId w:val="29"/>
  </w:num>
  <w:num w:numId="9">
    <w:abstractNumId w:val="31"/>
  </w:num>
  <w:num w:numId="10">
    <w:abstractNumId w:val="5"/>
  </w:num>
  <w:num w:numId="11">
    <w:abstractNumId w:val="40"/>
  </w:num>
  <w:num w:numId="12">
    <w:abstractNumId w:val="26"/>
  </w:num>
  <w:num w:numId="13">
    <w:abstractNumId w:val="14"/>
  </w:num>
  <w:num w:numId="14">
    <w:abstractNumId w:val="12"/>
  </w:num>
  <w:num w:numId="15">
    <w:abstractNumId w:val="7"/>
  </w:num>
  <w:num w:numId="16">
    <w:abstractNumId w:val="4"/>
  </w:num>
  <w:num w:numId="17">
    <w:abstractNumId w:val="13"/>
  </w:num>
  <w:num w:numId="18">
    <w:abstractNumId w:val="36"/>
  </w:num>
  <w:num w:numId="19">
    <w:abstractNumId w:val="44"/>
  </w:num>
  <w:num w:numId="20">
    <w:abstractNumId w:val="28"/>
  </w:num>
  <w:num w:numId="21">
    <w:abstractNumId w:val="32"/>
  </w:num>
  <w:num w:numId="22">
    <w:abstractNumId w:val="9"/>
  </w:num>
  <w:num w:numId="23">
    <w:abstractNumId w:val="19"/>
  </w:num>
  <w:num w:numId="24">
    <w:abstractNumId w:val="23"/>
  </w:num>
  <w:num w:numId="25">
    <w:abstractNumId w:val="11"/>
  </w:num>
  <w:num w:numId="26">
    <w:abstractNumId w:val="47"/>
  </w:num>
  <w:num w:numId="27">
    <w:abstractNumId w:val="25"/>
  </w:num>
  <w:num w:numId="28">
    <w:abstractNumId w:val="49"/>
  </w:num>
  <w:num w:numId="29">
    <w:abstractNumId w:val="41"/>
  </w:num>
  <w:num w:numId="30">
    <w:abstractNumId w:val="38"/>
  </w:num>
  <w:num w:numId="31">
    <w:abstractNumId w:val="2"/>
  </w:num>
  <w:num w:numId="32">
    <w:abstractNumId w:val="8"/>
  </w:num>
  <w:num w:numId="33">
    <w:abstractNumId w:val="30"/>
  </w:num>
  <w:num w:numId="34">
    <w:abstractNumId w:val="43"/>
  </w:num>
  <w:num w:numId="35">
    <w:abstractNumId w:val="22"/>
  </w:num>
  <w:num w:numId="36">
    <w:abstractNumId w:val="16"/>
  </w:num>
  <w:num w:numId="37">
    <w:abstractNumId w:val="3"/>
  </w:num>
  <w:num w:numId="38">
    <w:abstractNumId w:val="24"/>
  </w:num>
  <w:num w:numId="39">
    <w:abstractNumId w:val="18"/>
  </w:num>
  <w:num w:numId="40">
    <w:abstractNumId w:val="21"/>
  </w:num>
  <w:num w:numId="41">
    <w:abstractNumId w:val="45"/>
  </w:num>
  <w:num w:numId="42">
    <w:abstractNumId w:val="34"/>
  </w:num>
  <w:num w:numId="43">
    <w:abstractNumId w:val="46"/>
  </w:num>
  <w:num w:numId="44">
    <w:abstractNumId w:val="15"/>
  </w:num>
  <w:num w:numId="45">
    <w:abstractNumId w:val="37"/>
  </w:num>
  <w:num w:numId="46">
    <w:abstractNumId w:val="6"/>
  </w:num>
  <w:num w:numId="47">
    <w:abstractNumId w:val="48"/>
  </w:num>
  <w:num w:numId="48">
    <w:abstractNumId w:val="27"/>
  </w:num>
  <w:num w:numId="49">
    <w:abstractNumId w:val="1"/>
  </w:num>
  <w:num w:numId="50">
    <w:abstractNumId w:val="33"/>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mirrorMargins/>
  <w:defaultTabStop w:val="708"/>
  <w:characterSpacingControl w:val="doNotCompress"/>
  <w:savePreviewPicture/>
  <w:footnotePr>
    <w:footnote w:id="-1"/>
    <w:footnote w:id="0"/>
  </w:footnotePr>
  <w:endnotePr>
    <w:endnote w:id="-1"/>
    <w:endnote w:id="0"/>
  </w:endnotePr>
  <w:compat/>
  <w:rsids>
    <w:rsidRoot w:val="00A47441"/>
    <w:rsid w:val="00000067"/>
    <w:rsid w:val="000008F7"/>
    <w:rsid w:val="00004634"/>
    <w:rsid w:val="00006CBC"/>
    <w:rsid w:val="0000782E"/>
    <w:rsid w:val="000108D9"/>
    <w:rsid w:val="00010B6D"/>
    <w:rsid w:val="000113EB"/>
    <w:rsid w:val="000146CC"/>
    <w:rsid w:val="0001752C"/>
    <w:rsid w:val="00017704"/>
    <w:rsid w:val="00017F19"/>
    <w:rsid w:val="00020991"/>
    <w:rsid w:val="0002253A"/>
    <w:rsid w:val="00024ED5"/>
    <w:rsid w:val="000344AD"/>
    <w:rsid w:val="000400A6"/>
    <w:rsid w:val="000426B4"/>
    <w:rsid w:val="000428C5"/>
    <w:rsid w:val="00045966"/>
    <w:rsid w:val="00046ADD"/>
    <w:rsid w:val="00047E12"/>
    <w:rsid w:val="00047FB3"/>
    <w:rsid w:val="00050308"/>
    <w:rsid w:val="00050EA8"/>
    <w:rsid w:val="00051634"/>
    <w:rsid w:val="00051BA9"/>
    <w:rsid w:val="000522A5"/>
    <w:rsid w:val="00052E2C"/>
    <w:rsid w:val="00052E7F"/>
    <w:rsid w:val="000537F4"/>
    <w:rsid w:val="000538B2"/>
    <w:rsid w:val="00056B27"/>
    <w:rsid w:val="00056F27"/>
    <w:rsid w:val="000608AC"/>
    <w:rsid w:val="00061E83"/>
    <w:rsid w:val="000624F5"/>
    <w:rsid w:val="0006363D"/>
    <w:rsid w:val="0006438B"/>
    <w:rsid w:val="00064A30"/>
    <w:rsid w:val="00066465"/>
    <w:rsid w:val="000669A9"/>
    <w:rsid w:val="00072308"/>
    <w:rsid w:val="00074DCB"/>
    <w:rsid w:val="0007549B"/>
    <w:rsid w:val="000755ED"/>
    <w:rsid w:val="00076B2F"/>
    <w:rsid w:val="00077CCB"/>
    <w:rsid w:val="000810BB"/>
    <w:rsid w:val="00081461"/>
    <w:rsid w:val="00081CFC"/>
    <w:rsid w:val="00081F6D"/>
    <w:rsid w:val="0008405C"/>
    <w:rsid w:val="000843CB"/>
    <w:rsid w:val="0009146C"/>
    <w:rsid w:val="00092BF9"/>
    <w:rsid w:val="00094B6C"/>
    <w:rsid w:val="00095A62"/>
    <w:rsid w:val="0009731F"/>
    <w:rsid w:val="000A3323"/>
    <w:rsid w:val="000A336B"/>
    <w:rsid w:val="000A4170"/>
    <w:rsid w:val="000A4750"/>
    <w:rsid w:val="000A475E"/>
    <w:rsid w:val="000A50FF"/>
    <w:rsid w:val="000B05C1"/>
    <w:rsid w:val="000B1C99"/>
    <w:rsid w:val="000B46F2"/>
    <w:rsid w:val="000B47D5"/>
    <w:rsid w:val="000C2CD6"/>
    <w:rsid w:val="000C56D0"/>
    <w:rsid w:val="000C57DB"/>
    <w:rsid w:val="000D148C"/>
    <w:rsid w:val="000D1F85"/>
    <w:rsid w:val="000D3339"/>
    <w:rsid w:val="000D789F"/>
    <w:rsid w:val="000E0159"/>
    <w:rsid w:val="000E175D"/>
    <w:rsid w:val="000E36BC"/>
    <w:rsid w:val="000E450E"/>
    <w:rsid w:val="000E5861"/>
    <w:rsid w:val="000E63E0"/>
    <w:rsid w:val="000F0E3B"/>
    <w:rsid w:val="000F368F"/>
    <w:rsid w:val="000F448C"/>
    <w:rsid w:val="000F52AB"/>
    <w:rsid w:val="000F5327"/>
    <w:rsid w:val="000F596A"/>
    <w:rsid w:val="000F6894"/>
    <w:rsid w:val="000F7EDA"/>
    <w:rsid w:val="00100F04"/>
    <w:rsid w:val="00104B3C"/>
    <w:rsid w:val="00104C88"/>
    <w:rsid w:val="0010523D"/>
    <w:rsid w:val="00106FFD"/>
    <w:rsid w:val="00111B43"/>
    <w:rsid w:val="00111BB5"/>
    <w:rsid w:val="0011518D"/>
    <w:rsid w:val="001175A1"/>
    <w:rsid w:val="00120D43"/>
    <w:rsid w:val="00122BD4"/>
    <w:rsid w:val="00125884"/>
    <w:rsid w:val="00126EBD"/>
    <w:rsid w:val="00127792"/>
    <w:rsid w:val="0013124D"/>
    <w:rsid w:val="00133C88"/>
    <w:rsid w:val="00134515"/>
    <w:rsid w:val="001355FF"/>
    <w:rsid w:val="001356D1"/>
    <w:rsid w:val="0014316C"/>
    <w:rsid w:val="00144BB9"/>
    <w:rsid w:val="00144EC1"/>
    <w:rsid w:val="001472A1"/>
    <w:rsid w:val="00154C4D"/>
    <w:rsid w:val="001608BE"/>
    <w:rsid w:val="00160E1B"/>
    <w:rsid w:val="00166009"/>
    <w:rsid w:val="001670A3"/>
    <w:rsid w:val="0016786E"/>
    <w:rsid w:val="00171EC7"/>
    <w:rsid w:val="00171EF9"/>
    <w:rsid w:val="001729A3"/>
    <w:rsid w:val="00172A37"/>
    <w:rsid w:val="0018444D"/>
    <w:rsid w:val="00185819"/>
    <w:rsid w:val="001865FF"/>
    <w:rsid w:val="001868ED"/>
    <w:rsid w:val="00187030"/>
    <w:rsid w:val="0018759F"/>
    <w:rsid w:val="00187FF6"/>
    <w:rsid w:val="00191FD8"/>
    <w:rsid w:val="001934C8"/>
    <w:rsid w:val="00193660"/>
    <w:rsid w:val="001943EA"/>
    <w:rsid w:val="00194A32"/>
    <w:rsid w:val="001A02BC"/>
    <w:rsid w:val="001A3997"/>
    <w:rsid w:val="001A7565"/>
    <w:rsid w:val="001A7850"/>
    <w:rsid w:val="001A7B72"/>
    <w:rsid w:val="001B048E"/>
    <w:rsid w:val="001B0A8B"/>
    <w:rsid w:val="001B1806"/>
    <w:rsid w:val="001B2BC0"/>
    <w:rsid w:val="001B2EDE"/>
    <w:rsid w:val="001B357E"/>
    <w:rsid w:val="001B3C8B"/>
    <w:rsid w:val="001B44A6"/>
    <w:rsid w:val="001B6829"/>
    <w:rsid w:val="001B6F2A"/>
    <w:rsid w:val="001C1BFB"/>
    <w:rsid w:val="001C2D40"/>
    <w:rsid w:val="001C3A7D"/>
    <w:rsid w:val="001C4B6B"/>
    <w:rsid w:val="001C65AE"/>
    <w:rsid w:val="001D173C"/>
    <w:rsid w:val="001D23F6"/>
    <w:rsid w:val="001D2D8C"/>
    <w:rsid w:val="001D6A3B"/>
    <w:rsid w:val="001D7954"/>
    <w:rsid w:val="001E12F4"/>
    <w:rsid w:val="001E3788"/>
    <w:rsid w:val="001E5B85"/>
    <w:rsid w:val="001F1026"/>
    <w:rsid w:val="001F1FF7"/>
    <w:rsid w:val="001F5340"/>
    <w:rsid w:val="001F5617"/>
    <w:rsid w:val="00201D44"/>
    <w:rsid w:val="00202D10"/>
    <w:rsid w:val="002033B3"/>
    <w:rsid w:val="00203DBC"/>
    <w:rsid w:val="0020595D"/>
    <w:rsid w:val="0021030C"/>
    <w:rsid w:val="00212C3D"/>
    <w:rsid w:val="0021432C"/>
    <w:rsid w:val="002153E7"/>
    <w:rsid w:val="00216145"/>
    <w:rsid w:val="0021621F"/>
    <w:rsid w:val="002162FD"/>
    <w:rsid w:val="00217664"/>
    <w:rsid w:val="00220361"/>
    <w:rsid w:val="00221133"/>
    <w:rsid w:val="00221499"/>
    <w:rsid w:val="00222745"/>
    <w:rsid w:val="002231CB"/>
    <w:rsid w:val="00223A97"/>
    <w:rsid w:val="002303E4"/>
    <w:rsid w:val="00232F69"/>
    <w:rsid w:val="00236583"/>
    <w:rsid w:val="00237B6A"/>
    <w:rsid w:val="00241479"/>
    <w:rsid w:val="002428D3"/>
    <w:rsid w:val="00243078"/>
    <w:rsid w:val="00246A3C"/>
    <w:rsid w:val="00247793"/>
    <w:rsid w:val="00247B14"/>
    <w:rsid w:val="00247B8D"/>
    <w:rsid w:val="0025019E"/>
    <w:rsid w:val="0025175D"/>
    <w:rsid w:val="0025177D"/>
    <w:rsid w:val="002528B5"/>
    <w:rsid w:val="002562E0"/>
    <w:rsid w:val="002564C7"/>
    <w:rsid w:val="00257993"/>
    <w:rsid w:val="00260AF0"/>
    <w:rsid w:val="00261FA3"/>
    <w:rsid w:val="00265062"/>
    <w:rsid w:val="0026591A"/>
    <w:rsid w:val="00266524"/>
    <w:rsid w:val="0026678C"/>
    <w:rsid w:val="0027164C"/>
    <w:rsid w:val="00272762"/>
    <w:rsid w:val="00276C2E"/>
    <w:rsid w:val="00276FA9"/>
    <w:rsid w:val="002777A5"/>
    <w:rsid w:val="00277B12"/>
    <w:rsid w:val="002812E0"/>
    <w:rsid w:val="00281C49"/>
    <w:rsid w:val="00283904"/>
    <w:rsid w:val="002842AF"/>
    <w:rsid w:val="002844CE"/>
    <w:rsid w:val="00285E9C"/>
    <w:rsid w:val="00287194"/>
    <w:rsid w:val="00291309"/>
    <w:rsid w:val="002917FA"/>
    <w:rsid w:val="00292F2E"/>
    <w:rsid w:val="00294DB9"/>
    <w:rsid w:val="00296306"/>
    <w:rsid w:val="002966C8"/>
    <w:rsid w:val="00296A3D"/>
    <w:rsid w:val="002A174D"/>
    <w:rsid w:val="002A3189"/>
    <w:rsid w:val="002A4A0C"/>
    <w:rsid w:val="002A52FB"/>
    <w:rsid w:val="002A53DD"/>
    <w:rsid w:val="002A56A2"/>
    <w:rsid w:val="002A737D"/>
    <w:rsid w:val="002A77D8"/>
    <w:rsid w:val="002A78F3"/>
    <w:rsid w:val="002A7B45"/>
    <w:rsid w:val="002A7CDF"/>
    <w:rsid w:val="002A7E6F"/>
    <w:rsid w:val="002A7EA1"/>
    <w:rsid w:val="002B44CC"/>
    <w:rsid w:val="002B4BBA"/>
    <w:rsid w:val="002B5712"/>
    <w:rsid w:val="002B66F0"/>
    <w:rsid w:val="002B6B43"/>
    <w:rsid w:val="002B79A6"/>
    <w:rsid w:val="002C0D21"/>
    <w:rsid w:val="002C1043"/>
    <w:rsid w:val="002C210D"/>
    <w:rsid w:val="002C2785"/>
    <w:rsid w:val="002C28D0"/>
    <w:rsid w:val="002C5505"/>
    <w:rsid w:val="002C5565"/>
    <w:rsid w:val="002C5C2B"/>
    <w:rsid w:val="002C5FE0"/>
    <w:rsid w:val="002C67E4"/>
    <w:rsid w:val="002D57FF"/>
    <w:rsid w:val="002D5BA0"/>
    <w:rsid w:val="002D72F8"/>
    <w:rsid w:val="002E012B"/>
    <w:rsid w:val="002E7395"/>
    <w:rsid w:val="002F0229"/>
    <w:rsid w:val="002F0635"/>
    <w:rsid w:val="002F08E3"/>
    <w:rsid w:val="002F18D3"/>
    <w:rsid w:val="002F426B"/>
    <w:rsid w:val="002F4956"/>
    <w:rsid w:val="002F6C3D"/>
    <w:rsid w:val="00301235"/>
    <w:rsid w:val="00302630"/>
    <w:rsid w:val="0030316F"/>
    <w:rsid w:val="00304846"/>
    <w:rsid w:val="00306E0B"/>
    <w:rsid w:val="00310091"/>
    <w:rsid w:val="00314C60"/>
    <w:rsid w:val="00315609"/>
    <w:rsid w:val="00316758"/>
    <w:rsid w:val="00336754"/>
    <w:rsid w:val="00342B34"/>
    <w:rsid w:val="00345491"/>
    <w:rsid w:val="00345E6F"/>
    <w:rsid w:val="0034603E"/>
    <w:rsid w:val="00350A01"/>
    <w:rsid w:val="00351856"/>
    <w:rsid w:val="003518F4"/>
    <w:rsid w:val="00351C9B"/>
    <w:rsid w:val="003528C0"/>
    <w:rsid w:val="0035449F"/>
    <w:rsid w:val="00354844"/>
    <w:rsid w:val="003550EF"/>
    <w:rsid w:val="00356083"/>
    <w:rsid w:val="00360994"/>
    <w:rsid w:val="00360AB4"/>
    <w:rsid w:val="003623A5"/>
    <w:rsid w:val="003626EE"/>
    <w:rsid w:val="003627B4"/>
    <w:rsid w:val="003657D3"/>
    <w:rsid w:val="00366D8B"/>
    <w:rsid w:val="00367C8A"/>
    <w:rsid w:val="003768D2"/>
    <w:rsid w:val="00384446"/>
    <w:rsid w:val="00385678"/>
    <w:rsid w:val="00386344"/>
    <w:rsid w:val="00390590"/>
    <w:rsid w:val="0039237C"/>
    <w:rsid w:val="003925AF"/>
    <w:rsid w:val="00392EB5"/>
    <w:rsid w:val="00395348"/>
    <w:rsid w:val="0039618B"/>
    <w:rsid w:val="00396D7A"/>
    <w:rsid w:val="0039740D"/>
    <w:rsid w:val="003A004E"/>
    <w:rsid w:val="003A2F24"/>
    <w:rsid w:val="003A3CC5"/>
    <w:rsid w:val="003A3D54"/>
    <w:rsid w:val="003A462D"/>
    <w:rsid w:val="003A4874"/>
    <w:rsid w:val="003A6036"/>
    <w:rsid w:val="003A606F"/>
    <w:rsid w:val="003A68C1"/>
    <w:rsid w:val="003A77D3"/>
    <w:rsid w:val="003B04D9"/>
    <w:rsid w:val="003B2DB9"/>
    <w:rsid w:val="003B381E"/>
    <w:rsid w:val="003B506A"/>
    <w:rsid w:val="003B6BE1"/>
    <w:rsid w:val="003C0E80"/>
    <w:rsid w:val="003C1E2E"/>
    <w:rsid w:val="003C4175"/>
    <w:rsid w:val="003C45FB"/>
    <w:rsid w:val="003C5D11"/>
    <w:rsid w:val="003C6213"/>
    <w:rsid w:val="003C65FF"/>
    <w:rsid w:val="003C6DEE"/>
    <w:rsid w:val="003D1A6F"/>
    <w:rsid w:val="003D20A9"/>
    <w:rsid w:val="003D2BDB"/>
    <w:rsid w:val="003D322C"/>
    <w:rsid w:val="003D7652"/>
    <w:rsid w:val="003E17A9"/>
    <w:rsid w:val="003E1C8E"/>
    <w:rsid w:val="003E2CFE"/>
    <w:rsid w:val="003E5E04"/>
    <w:rsid w:val="003E7121"/>
    <w:rsid w:val="003F08A6"/>
    <w:rsid w:val="003F13BD"/>
    <w:rsid w:val="003F23BD"/>
    <w:rsid w:val="003F487F"/>
    <w:rsid w:val="003F49DE"/>
    <w:rsid w:val="003F6B92"/>
    <w:rsid w:val="003F7050"/>
    <w:rsid w:val="0040260C"/>
    <w:rsid w:val="00402C52"/>
    <w:rsid w:val="0040346A"/>
    <w:rsid w:val="00403D49"/>
    <w:rsid w:val="004050BC"/>
    <w:rsid w:val="0041119B"/>
    <w:rsid w:val="004129AF"/>
    <w:rsid w:val="00416329"/>
    <w:rsid w:val="00424187"/>
    <w:rsid w:val="00424387"/>
    <w:rsid w:val="004261A6"/>
    <w:rsid w:val="00427C00"/>
    <w:rsid w:val="00430347"/>
    <w:rsid w:val="004314B2"/>
    <w:rsid w:val="0043235F"/>
    <w:rsid w:val="0043238C"/>
    <w:rsid w:val="004328B2"/>
    <w:rsid w:val="00436D14"/>
    <w:rsid w:val="00437509"/>
    <w:rsid w:val="004379E3"/>
    <w:rsid w:val="00441288"/>
    <w:rsid w:val="00441BB5"/>
    <w:rsid w:val="00443501"/>
    <w:rsid w:val="00443D03"/>
    <w:rsid w:val="00443F60"/>
    <w:rsid w:val="004446B4"/>
    <w:rsid w:val="00444ADD"/>
    <w:rsid w:val="004506A4"/>
    <w:rsid w:val="004615E2"/>
    <w:rsid w:val="00462919"/>
    <w:rsid w:val="0046307B"/>
    <w:rsid w:val="004650D2"/>
    <w:rsid w:val="0046530D"/>
    <w:rsid w:val="00467D5E"/>
    <w:rsid w:val="00475AD3"/>
    <w:rsid w:val="004777CB"/>
    <w:rsid w:val="004813FA"/>
    <w:rsid w:val="004824A9"/>
    <w:rsid w:val="0048293E"/>
    <w:rsid w:val="004831AD"/>
    <w:rsid w:val="00484F79"/>
    <w:rsid w:val="00490C35"/>
    <w:rsid w:val="0049176C"/>
    <w:rsid w:val="00493B24"/>
    <w:rsid w:val="004A0338"/>
    <w:rsid w:val="004A0664"/>
    <w:rsid w:val="004A19E4"/>
    <w:rsid w:val="004A2626"/>
    <w:rsid w:val="004A3209"/>
    <w:rsid w:val="004A6E7B"/>
    <w:rsid w:val="004A6EA8"/>
    <w:rsid w:val="004A7080"/>
    <w:rsid w:val="004A718E"/>
    <w:rsid w:val="004B20C8"/>
    <w:rsid w:val="004B374F"/>
    <w:rsid w:val="004B4551"/>
    <w:rsid w:val="004B4567"/>
    <w:rsid w:val="004B513F"/>
    <w:rsid w:val="004B5C15"/>
    <w:rsid w:val="004B658B"/>
    <w:rsid w:val="004B6C06"/>
    <w:rsid w:val="004B7631"/>
    <w:rsid w:val="004C6049"/>
    <w:rsid w:val="004D0920"/>
    <w:rsid w:val="004D10F0"/>
    <w:rsid w:val="004D2904"/>
    <w:rsid w:val="004D31C1"/>
    <w:rsid w:val="004D35BB"/>
    <w:rsid w:val="004D4CCB"/>
    <w:rsid w:val="004D5157"/>
    <w:rsid w:val="004D53BF"/>
    <w:rsid w:val="004D6AA9"/>
    <w:rsid w:val="004D6CE6"/>
    <w:rsid w:val="004E0A4C"/>
    <w:rsid w:val="004E0D16"/>
    <w:rsid w:val="004E33E2"/>
    <w:rsid w:val="004E6B63"/>
    <w:rsid w:val="004E6E0C"/>
    <w:rsid w:val="004E6EFC"/>
    <w:rsid w:val="004F1E2C"/>
    <w:rsid w:val="004F43FF"/>
    <w:rsid w:val="004F5323"/>
    <w:rsid w:val="004F57E4"/>
    <w:rsid w:val="004F6098"/>
    <w:rsid w:val="004F7C5D"/>
    <w:rsid w:val="00501B1F"/>
    <w:rsid w:val="00510F12"/>
    <w:rsid w:val="0051101A"/>
    <w:rsid w:val="005112EC"/>
    <w:rsid w:val="00512249"/>
    <w:rsid w:val="005128CB"/>
    <w:rsid w:val="00515B7B"/>
    <w:rsid w:val="00525753"/>
    <w:rsid w:val="005257D0"/>
    <w:rsid w:val="005258C7"/>
    <w:rsid w:val="005275A6"/>
    <w:rsid w:val="00527721"/>
    <w:rsid w:val="00527778"/>
    <w:rsid w:val="00527ABB"/>
    <w:rsid w:val="00530D72"/>
    <w:rsid w:val="005332A5"/>
    <w:rsid w:val="005351D3"/>
    <w:rsid w:val="00535C39"/>
    <w:rsid w:val="005374A4"/>
    <w:rsid w:val="00540EAB"/>
    <w:rsid w:val="00541D65"/>
    <w:rsid w:val="005459C1"/>
    <w:rsid w:val="00550474"/>
    <w:rsid w:val="00553653"/>
    <w:rsid w:val="0056067A"/>
    <w:rsid w:val="0056148D"/>
    <w:rsid w:val="00562444"/>
    <w:rsid w:val="0056500A"/>
    <w:rsid w:val="0056798A"/>
    <w:rsid w:val="005710D3"/>
    <w:rsid w:val="00572300"/>
    <w:rsid w:val="00580D59"/>
    <w:rsid w:val="00581F17"/>
    <w:rsid w:val="00584740"/>
    <w:rsid w:val="00584FEB"/>
    <w:rsid w:val="00585167"/>
    <w:rsid w:val="00592F13"/>
    <w:rsid w:val="005930A8"/>
    <w:rsid w:val="00595AF5"/>
    <w:rsid w:val="005A0D32"/>
    <w:rsid w:val="005A0DF2"/>
    <w:rsid w:val="005A3DF8"/>
    <w:rsid w:val="005A649E"/>
    <w:rsid w:val="005A7DA1"/>
    <w:rsid w:val="005B3D1E"/>
    <w:rsid w:val="005B46DF"/>
    <w:rsid w:val="005B49AA"/>
    <w:rsid w:val="005B49F9"/>
    <w:rsid w:val="005B4B29"/>
    <w:rsid w:val="005B639D"/>
    <w:rsid w:val="005C3D59"/>
    <w:rsid w:val="005C47D5"/>
    <w:rsid w:val="005C53EC"/>
    <w:rsid w:val="005C6944"/>
    <w:rsid w:val="005D1444"/>
    <w:rsid w:val="005D160D"/>
    <w:rsid w:val="005D2DF9"/>
    <w:rsid w:val="005D357C"/>
    <w:rsid w:val="005D36DE"/>
    <w:rsid w:val="005D4DB8"/>
    <w:rsid w:val="005E13B4"/>
    <w:rsid w:val="005E1E06"/>
    <w:rsid w:val="005E2F13"/>
    <w:rsid w:val="005E4432"/>
    <w:rsid w:val="005E75D2"/>
    <w:rsid w:val="005E77AC"/>
    <w:rsid w:val="005F2919"/>
    <w:rsid w:val="005F2CE0"/>
    <w:rsid w:val="005F3EEC"/>
    <w:rsid w:val="0060156C"/>
    <w:rsid w:val="00601A9E"/>
    <w:rsid w:val="0060357A"/>
    <w:rsid w:val="006037E6"/>
    <w:rsid w:val="006038F1"/>
    <w:rsid w:val="006045F7"/>
    <w:rsid w:val="00606F59"/>
    <w:rsid w:val="00611D74"/>
    <w:rsid w:val="006121B1"/>
    <w:rsid w:val="00613C05"/>
    <w:rsid w:val="00616133"/>
    <w:rsid w:val="00617648"/>
    <w:rsid w:val="00620D15"/>
    <w:rsid w:val="00621C09"/>
    <w:rsid w:val="00622A28"/>
    <w:rsid w:val="00622A45"/>
    <w:rsid w:val="00622E42"/>
    <w:rsid w:val="006235B5"/>
    <w:rsid w:val="006235D5"/>
    <w:rsid w:val="006243EF"/>
    <w:rsid w:val="00624A18"/>
    <w:rsid w:val="00626F6A"/>
    <w:rsid w:val="0062741F"/>
    <w:rsid w:val="0063174C"/>
    <w:rsid w:val="00631E1B"/>
    <w:rsid w:val="006352D8"/>
    <w:rsid w:val="00636143"/>
    <w:rsid w:val="0064648B"/>
    <w:rsid w:val="00646A7A"/>
    <w:rsid w:val="00651E31"/>
    <w:rsid w:val="006535A5"/>
    <w:rsid w:val="00656838"/>
    <w:rsid w:val="006600BD"/>
    <w:rsid w:val="006611B4"/>
    <w:rsid w:val="00662C94"/>
    <w:rsid w:val="00664619"/>
    <w:rsid w:val="00664EDC"/>
    <w:rsid w:val="006655DF"/>
    <w:rsid w:val="00667731"/>
    <w:rsid w:val="0067071D"/>
    <w:rsid w:val="00671318"/>
    <w:rsid w:val="0067179B"/>
    <w:rsid w:val="00672946"/>
    <w:rsid w:val="0067393C"/>
    <w:rsid w:val="006741A9"/>
    <w:rsid w:val="00674E45"/>
    <w:rsid w:val="006761FE"/>
    <w:rsid w:val="0067670A"/>
    <w:rsid w:val="006773F1"/>
    <w:rsid w:val="006811E2"/>
    <w:rsid w:val="00681533"/>
    <w:rsid w:val="0068182D"/>
    <w:rsid w:val="00681889"/>
    <w:rsid w:val="0068291F"/>
    <w:rsid w:val="00686A65"/>
    <w:rsid w:val="00686D4D"/>
    <w:rsid w:val="006939AD"/>
    <w:rsid w:val="00693ABB"/>
    <w:rsid w:val="00693B75"/>
    <w:rsid w:val="00695E0F"/>
    <w:rsid w:val="006A150A"/>
    <w:rsid w:val="006A26EA"/>
    <w:rsid w:val="006A51D6"/>
    <w:rsid w:val="006A571F"/>
    <w:rsid w:val="006B0072"/>
    <w:rsid w:val="006B0EA5"/>
    <w:rsid w:val="006B13AB"/>
    <w:rsid w:val="006B16F6"/>
    <w:rsid w:val="006B1F72"/>
    <w:rsid w:val="006B326C"/>
    <w:rsid w:val="006B34A9"/>
    <w:rsid w:val="006B376F"/>
    <w:rsid w:val="006B39FD"/>
    <w:rsid w:val="006B5394"/>
    <w:rsid w:val="006B54EE"/>
    <w:rsid w:val="006B5955"/>
    <w:rsid w:val="006B5BC4"/>
    <w:rsid w:val="006B5EB0"/>
    <w:rsid w:val="006C1F46"/>
    <w:rsid w:val="006C3189"/>
    <w:rsid w:val="006C4455"/>
    <w:rsid w:val="006C556F"/>
    <w:rsid w:val="006D131B"/>
    <w:rsid w:val="006D3A1D"/>
    <w:rsid w:val="006D44A2"/>
    <w:rsid w:val="006D5D4B"/>
    <w:rsid w:val="006D6D2A"/>
    <w:rsid w:val="006E0597"/>
    <w:rsid w:val="006E0E8C"/>
    <w:rsid w:val="006F32F0"/>
    <w:rsid w:val="006F340D"/>
    <w:rsid w:val="007019A4"/>
    <w:rsid w:val="0070379A"/>
    <w:rsid w:val="00703DAE"/>
    <w:rsid w:val="007056E7"/>
    <w:rsid w:val="00706865"/>
    <w:rsid w:val="007068FE"/>
    <w:rsid w:val="00706E48"/>
    <w:rsid w:val="007144D7"/>
    <w:rsid w:val="00723157"/>
    <w:rsid w:val="00725D33"/>
    <w:rsid w:val="00726F5B"/>
    <w:rsid w:val="0072757E"/>
    <w:rsid w:val="00731D3F"/>
    <w:rsid w:val="00732CDE"/>
    <w:rsid w:val="007334D0"/>
    <w:rsid w:val="00733C65"/>
    <w:rsid w:val="007344C9"/>
    <w:rsid w:val="007365E8"/>
    <w:rsid w:val="00740591"/>
    <w:rsid w:val="00743349"/>
    <w:rsid w:val="00743A82"/>
    <w:rsid w:val="0074443E"/>
    <w:rsid w:val="0074456C"/>
    <w:rsid w:val="00744A35"/>
    <w:rsid w:val="00747EC8"/>
    <w:rsid w:val="0075294E"/>
    <w:rsid w:val="007535D5"/>
    <w:rsid w:val="00761FF9"/>
    <w:rsid w:val="007625CD"/>
    <w:rsid w:val="0076302F"/>
    <w:rsid w:val="0076457F"/>
    <w:rsid w:val="007646AE"/>
    <w:rsid w:val="007701C1"/>
    <w:rsid w:val="00771163"/>
    <w:rsid w:val="00774A86"/>
    <w:rsid w:val="00775BB7"/>
    <w:rsid w:val="007802E9"/>
    <w:rsid w:val="00784BCE"/>
    <w:rsid w:val="007855A8"/>
    <w:rsid w:val="00790EB9"/>
    <w:rsid w:val="00792647"/>
    <w:rsid w:val="00794855"/>
    <w:rsid w:val="00796832"/>
    <w:rsid w:val="00797854"/>
    <w:rsid w:val="00797A08"/>
    <w:rsid w:val="007A08B1"/>
    <w:rsid w:val="007A269F"/>
    <w:rsid w:val="007A2F30"/>
    <w:rsid w:val="007A3131"/>
    <w:rsid w:val="007A40A5"/>
    <w:rsid w:val="007A4A64"/>
    <w:rsid w:val="007A54CF"/>
    <w:rsid w:val="007A7B3C"/>
    <w:rsid w:val="007B1C12"/>
    <w:rsid w:val="007B6561"/>
    <w:rsid w:val="007B70C9"/>
    <w:rsid w:val="007B7CB1"/>
    <w:rsid w:val="007C12BD"/>
    <w:rsid w:val="007C34EE"/>
    <w:rsid w:val="007C57C8"/>
    <w:rsid w:val="007C6280"/>
    <w:rsid w:val="007C7FAC"/>
    <w:rsid w:val="007D3621"/>
    <w:rsid w:val="007D3750"/>
    <w:rsid w:val="007D54F4"/>
    <w:rsid w:val="007D7102"/>
    <w:rsid w:val="007E2FE5"/>
    <w:rsid w:val="007E4578"/>
    <w:rsid w:val="007E6421"/>
    <w:rsid w:val="007F1BEB"/>
    <w:rsid w:val="007F20F6"/>
    <w:rsid w:val="007F49E7"/>
    <w:rsid w:val="007F587E"/>
    <w:rsid w:val="007F6AEA"/>
    <w:rsid w:val="00800B83"/>
    <w:rsid w:val="0080120E"/>
    <w:rsid w:val="008023D5"/>
    <w:rsid w:val="00806EE2"/>
    <w:rsid w:val="00807B73"/>
    <w:rsid w:val="0081134C"/>
    <w:rsid w:val="00811474"/>
    <w:rsid w:val="008125F4"/>
    <w:rsid w:val="00814B87"/>
    <w:rsid w:val="00820DE3"/>
    <w:rsid w:val="008214E7"/>
    <w:rsid w:val="00823F66"/>
    <w:rsid w:val="00826B1E"/>
    <w:rsid w:val="00827922"/>
    <w:rsid w:val="00830674"/>
    <w:rsid w:val="0083091F"/>
    <w:rsid w:val="0083150C"/>
    <w:rsid w:val="00831DB7"/>
    <w:rsid w:val="00832DA4"/>
    <w:rsid w:val="0083344D"/>
    <w:rsid w:val="00834836"/>
    <w:rsid w:val="00840063"/>
    <w:rsid w:val="00844932"/>
    <w:rsid w:val="008512A6"/>
    <w:rsid w:val="008516BD"/>
    <w:rsid w:val="008543BC"/>
    <w:rsid w:val="00857D41"/>
    <w:rsid w:val="00862F1B"/>
    <w:rsid w:val="00863989"/>
    <w:rsid w:val="00864ABD"/>
    <w:rsid w:val="00867A1B"/>
    <w:rsid w:val="00867FF5"/>
    <w:rsid w:val="0087190E"/>
    <w:rsid w:val="00871F5B"/>
    <w:rsid w:val="00874AF7"/>
    <w:rsid w:val="00874ED8"/>
    <w:rsid w:val="008760B0"/>
    <w:rsid w:val="008761C6"/>
    <w:rsid w:val="0087627F"/>
    <w:rsid w:val="00877069"/>
    <w:rsid w:val="00877A53"/>
    <w:rsid w:val="00877E71"/>
    <w:rsid w:val="0088078B"/>
    <w:rsid w:val="008815D1"/>
    <w:rsid w:val="008868A1"/>
    <w:rsid w:val="008868E2"/>
    <w:rsid w:val="00887831"/>
    <w:rsid w:val="00887F6A"/>
    <w:rsid w:val="0089257D"/>
    <w:rsid w:val="008955D5"/>
    <w:rsid w:val="008A2670"/>
    <w:rsid w:val="008A33A1"/>
    <w:rsid w:val="008A479D"/>
    <w:rsid w:val="008B04FD"/>
    <w:rsid w:val="008B217C"/>
    <w:rsid w:val="008B310E"/>
    <w:rsid w:val="008B37C7"/>
    <w:rsid w:val="008B3F7C"/>
    <w:rsid w:val="008B6BB7"/>
    <w:rsid w:val="008B6F6D"/>
    <w:rsid w:val="008B7A72"/>
    <w:rsid w:val="008C2681"/>
    <w:rsid w:val="008C2B1B"/>
    <w:rsid w:val="008C2EE0"/>
    <w:rsid w:val="008C3336"/>
    <w:rsid w:val="008C3BB4"/>
    <w:rsid w:val="008C5101"/>
    <w:rsid w:val="008C769E"/>
    <w:rsid w:val="008C7E26"/>
    <w:rsid w:val="008D4788"/>
    <w:rsid w:val="008D57B5"/>
    <w:rsid w:val="008D6E8A"/>
    <w:rsid w:val="008E05DC"/>
    <w:rsid w:val="008E0B87"/>
    <w:rsid w:val="008E2EAF"/>
    <w:rsid w:val="008E2F64"/>
    <w:rsid w:val="008E4D46"/>
    <w:rsid w:val="008E6A01"/>
    <w:rsid w:val="008F0EF3"/>
    <w:rsid w:val="008F20B5"/>
    <w:rsid w:val="008F2B7C"/>
    <w:rsid w:val="008F628C"/>
    <w:rsid w:val="008F6F7F"/>
    <w:rsid w:val="008F78B8"/>
    <w:rsid w:val="009006C6"/>
    <w:rsid w:val="00902F5C"/>
    <w:rsid w:val="009030AD"/>
    <w:rsid w:val="0090315D"/>
    <w:rsid w:val="00910250"/>
    <w:rsid w:val="00912603"/>
    <w:rsid w:val="00914C20"/>
    <w:rsid w:val="0091604B"/>
    <w:rsid w:val="009176C4"/>
    <w:rsid w:val="00920F58"/>
    <w:rsid w:val="0092635A"/>
    <w:rsid w:val="00926603"/>
    <w:rsid w:val="00930B92"/>
    <w:rsid w:val="00932F9F"/>
    <w:rsid w:val="00934321"/>
    <w:rsid w:val="009369FF"/>
    <w:rsid w:val="00943F30"/>
    <w:rsid w:val="0094700D"/>
    <w:rsid w:val="00956001"/>
    <w:rsid w:val="0096237B"/>
    <w:rsid w:val="00962F0F"/>
    <w:rsid w:val="009663D3"/>
    <w:rsid w:val="00967CE2"/>
    <w:rsid w:val="00971FC6"/>
    <w:rsid w:val="0097207D"/>
    <w:rsid w:val="00972834"/>
    <w:rsid w:val="00974B34"/>
    <w:rsid w:val="00977091"/>
    <w:rsid w:val="00977A08"/>
    <w:rsid w:val="00981D45"/>
    <w:rsid w:val="00982AB6"/>
    <w:rsid w:val="00984A23"/>
    <w:rsid w:val="0098502C"/>
    <w:rsid w:val="0099138A"/>
    <w:rsid w:val="0099503B"/>
    <w:rsid w:val="00995226"/>
    <w:rsid w:val="009957F0"/>
    <w:rsid w:val="009968BD"/>
    <w:rsid w:val="00997A43"/>
    <w:rsid w:val="009A0AD2"/>
    <w:rsid w:val="009A1864"/>
    <w:rsid w:val="009A3954"/>
    <w:rsid w:val="009A4C08"/>
    <w:rsid w:val="009B1366"/>
    <w:rsid w:val="009B18FD"/>
    <w:rsid w:val="009B5BBD"/>
    <w:rsid w:val="009B6275"/>
    <w:rsid w:val="009B6E1D"/>
    <w:rsid w:val="009B7482"/>
    <w:rsid w:val="009B7702"/>
    <w:rsid w:val="009B7847"/>
    <w:rsid w:val="009C031C"/>
    <w:rsid w:val="009C0799"/>
    <w:rsid w:val="009C1F92"/>
    <w:rsid w:val="009C2E5F"/>
    <w:rsid w:val="009C3E47"/>
    <w:rsid w:val="009C4712"/>
    <w:rsid w:val="009C4C34"/>
    <w:rsid w:val="009C4D94"/>
    <w:rsid w:val="009D0C9C"/>
    <w:rsid w:val="009D637F"/>
    <w:rsid w:val="009D6BBB"/>
    <w:rsid w:val="009D790B"/>
    <w:rsid w:val="009D7EDD"/>
    <w:rsid w:val="009E2AC6"/>
    <w:rsid w:val="009E2E89"/>
    <w:rsid w:val="009E3C69"/>
    <w:rsid w:val="009F029F"/>
    <w:rsid w:val="009F04CB"/>
    <w:rsid w:val="009F0DF9"/>
    <w:rsid w:val="009F1FBD"/>
    <w:rsid w:val="009F36F0"/>
    <w:rsid w:val="009F5021"/>
    <w:rsid w:val="009F51AD"/>
    <w:rsid w:val="009F68C2"/>
    <w:rsid w:val="009F6B4A"/>
    <w:rsid w:val="00A015BB"/>
    <w:rsid w:val="00A01679"/>
    <w:rsid w:val="00A05E98"/>
    <w:rsid w:val="00A12803"/>
    <w:rsid w:val="00A14943"/>
    <w:rsid w:val="00A14D5D"/>
    <w:rsid w:val="00A16851"/>
    <w:rsid w:val="00A20E79"/>
    <w:rsid w:val="00A20F31"/>
    <w:rsid w:val="00A21584"/>
    <w:rsid w:val="00A22591"/>
    <w:rsid w:val="00A2293F"/>
    <w:rsid w:val="00A236C2"/>
    <w:rsid w:val="00A260E8"/>
    <w:rsid w:val="00A266D8"/>
    <w:rsid w:val="00A26B9B"/>
    <w:rsid w:val="00A2734E"/>
    <w:rsid w:val="00A2785E"/>
    <w:rsid w:val="00A40476"/>
    <w:rsid w:val="00A41171"/>
    <w:rsid w:val="00A4467D"/>
    <w:rsid w:val="00A45721"/>
    <w:rsid w:val="00A46830"/>
    <w:rsid w:val="00A47441"/>
    <w:rsid w:val="00A5094F"/>
    <w:rsid w:val="00A52944"/>
    <w:rsid w:val="00A54848"/>
    <w:rsid w:val="00A5520C"/>
    <w:rsid w:val="00A56715"/>
    <w:rsid w:val="00A61E50"/>
    <w:rsid w:val="00A6301A"/>
    <w:rsid w:val="00A66406"/>
    <w:rsid w:val="00A66FEF"/>
    <w:rsid w:val="00A6794E"/>
    <w:rsid w:val="00A67B6A"/>
    <w:rsid w:val="00A7059C"/>
    <w:rsid w:val="00A7068A"/>
    <w:rsid w:val="00A706B8"/>
    <w:rsid w:val="00A76E2A"/>
    <w:rsid w:val="00A80E25"/>
    <w:rsid w:val="00A810A6"/>
    <w:rsid w:val="00A818B2"/>
    <w:rsid w:val="00A82567"/>
    <w:rsid w:val="00A8285F"/>
    <w:rsid w:val="00A82D54"/>
    <w:rsid w:val="00A82DC1"/>
    <w:rsid w:val="00A840E5"/>
    <w:rsid w:val="00A84C53"/>
    <w:rsid w:val="00A85CFE"/>
    <w:rsid w:val="00A85D87"/>
    <w:rsid w:val="00A90189"/>
    <w:rsid w:val="00A9108B"/>
    <w:rsid w:val="00A91A33"/>
    <w:rsid w:val="00A96D8C"/>
    <w:rsid w:val="00AA0A0D"/>
    <w:rsid w:val="00AA3787"/>
    <w:rsid w:val="00AA400D"/>
    <w:rsid w:val="00AA48B7"/>
    <w:rsid w:val="00AB3BEA"/>
    <w:rsid w:val="00AB42BB"/>
    <w:rsid w:val="00AC0C2D"/>
    <w:rsid w:val="00AC2F6E"/>
    <w:rsid w:val="00AC46D0"/>
    <w:rsid w:val="00AC4C6A"/>
    <w:rsid w:val="00AC5323"/>
    <w:rsid w:val="00AC5D82"/>
    <w:rsid w:val="00AC638D"/>
    <w:rsid w:val="00AC7372"/>
    <w:rsid w:val="00AC7A5B"/>
    <w:rsid w:val="00AD00CC"/>
    <w:rsid w:val="00AD08DD"/>
    <w:rsid w:val="00AD2EFE"/>
    <w:rsid w:val="00AD3FA6"/>
    <w:rsid w:val="00AD5AFE"/>
    <w:rsid w:val="00AE1B8D"/>
    <w:rsid w:val="00AE4354"/>
    <w:rsid w:val="00AE4AC6"/>
    <w:rsid w:val="00AE4AFE"/>
    <w:rsid w:val="00AE4F54"/>
    <w:rsid w:val="00AE6912"/>
    <w:rsid w:val="00AE7E0B"/>
    <w:rsid w:val="00AF0FDB"/>
    <w:rsid w:val="00AF4221"/>
    <w:rsid w:val="00AF48BD"/>
    <w:rsid w:val="00AF4B9E"/>
    <w:rsid w:val="00AF565F"/>
    <w:rsid w:val="00AF6263"/>
    <w:rsid w:val="00B000E9"/>
    <w:rsid w:val="00B020DC"/>
    <w:rsid w:val="00B02526"/>
    <w:rsid w:val="00B02B88"/>
    <w:rsid w:val="00B059F0"/>
    <w:rsid w:val="00B05E8F"/>
    <w:rsid w:val="00B06057"/>
    <w:rsid w:val="00B07012"/>
    <w:rsid w:val="00B074A5"/>
    <w:rsid w:val="00B074CD"/>
    <w:rsid w:val="00B10984"/>
    <w:rsid w:val="00B115D9"/>
    <w:rsid w:val="00B1582C"/>
    <w:rsid w:val="00B16095"/>
    <w:rsid w:val="00B1642D"/>
    <w:rsid w:val="00B17FDA"/>
    <w:rsid w:val="00B202D1"/>
    <w:rsid w:val="00B21D48"/>
    <w:rsid w:val="00B221F0"/>
    <w:rsid w:val="00B23302"/>
    <w:rsid w:val="00B24B2D"/>
    <w:rsid w:val="00B325E2"/>
    <w:rsid w:val="00B32DF2"/>
    <w:rsid w:val="00B350D0"/>
    <w:rsid w:val="00B35499"/>
    <w:rsid w:val="00B35E57"/>
    <w:rsid w:val="00B37C97"/>
    <w:rsid w:val="00B40F73"/>
    <w:rsid w:val="00B4373C"/>
    <w:rsid w:val="00B449B6"/>
    <w:rsid w:val="00B50007"/>
    <w:rsid w:val="00B503C9"/>
    <w:rsid w:val="00B5296A"/>
    <w:rsid w:val="00B566AE"/>
    <w:rsid w:val="00B61D68"/>
    <w:rsid w:val="00B626B5"/>
    <w:rsid w:val="00B633C5"/>
    <w:rsid w:val="00B65DEB"/>
    <w:rsid w:val="00B66951"/>
    <w:rsid w:val="00B66A51"/>
    <w:rsid w:val="00B6766F"/>
    <w:rsid w:val="00B67BAD"/>
    <w:rsid w:val="00B748C5"/>
    <w:rsid w:val="00B74C16"/>
    <w:rsid w:val="00B74FD0"/>
    <w:rsid w:val="00B76D4A"/>
    <w:rsid w:val="00B80792"/>
    <w:rsid w:val="00B82344"/>
    <w:rsid w:val="00B8291E"/>
    <w:rsid w:val="00B835B8"/>
    <w:rsid w:val="00B83E1B"/>
    <w:rsid w:val="00B85763"/>
    <w:rsid w:val="00B8790B"/>
    <w:rsid w:val="00B916B6"/>
    <w:rsid w:val="00B91B65"/>
    <w:rsid w:val="00B93C86"/>
    <w:rsid w:val="00B94516"/>
    <w:rsid w:val="00B9476F"/>
    <w:rsid w:val="00B97460"/>
    <w:rsid w:val="00B97CF9"/>
    <w:rsid w:val="00BA01FD"/>
    <w:rsid w:val="00BA3129"/>
    <w:rsid w:val="00BA74D5"/>
    <w:rsid w:val="00BA7C4E"/>
    <w:rsid w:val="00BB1BA6"/>
    <w:rsid w:val="00BB2130"/>
    <w:rsid w:val="00BB2927"/>
    <w:rsid w:val="00BB2D08"/>
    <w:rsid w:val="00BB30A7"/>
    <w:rsid w:val="00BB4A3F"/>
    <w:rsid w:val="00BB5293"/>
    <w:rsid w:val="00BB60CC"/>
    <w:rsid w:val="00BB6E1B"/>
    <w:rsid w:val="00BB799B"/>
    <w:rsid w:val="00BC7BBE"/>
    <w:rsid w:val="00BD20F0"/>
    <w:rsid w:val="00BD227B"/>
    <w:rsid w:val="00BD2C9B"/>
    <w:rsid w:val="00BD3E79"/>
    <w:rsid w:val="00BD4C81"/>
    <w:rsid w:val="00BD72BE"/>
    <w:rsid w:val="00BE29FB"/>
    <w:rsid w:val="00BE3110"/>
    <w:rsid w:val="00BE44FD"/>
    <w:rsid w:val="00BE6A9C"/>
    <w:rsid w:val="00BF0A6C"/>
    <w:rsid w:val="00BF3647"/>
    <w:rsid w:val="00BF4E33"/>
    <w:rsid w:val="00BF4E6B"/>
    <w:rsid w:val="00BF5D35"/>
    <w:rsid w:val="00C032C7"/>
    <w:rsid w:val="00C058DD"/>
    <w:rsid w:val="00C0607B"/>
    <w:rsid w:val="00C061BC"/>
    <w:rsid w:val="00C109D4"/>
    <w:rsid w:val="00C112F3"/>
    <w:rsid w:val="00C12000"/>
    <w:rsid w:val="00C126E7"/>
    <w:rsid w:val="00C128A2"/>
    <w:rsid w:val="00C1434C"/>
    <w:rsid w:val="00C16C90"/>
    <w:rsid w:val="00C20349"/>
    <w:rsid w:val="00C20F5C"/>
    <w:rsid w:val="00C2115E"/>
    <w:rsid w:val="00C225C7"/>
    <w:rsid w:val="00C261BC"/>
    <w:rsid w:val="00C262D1"/>
    <w:rsid w:val="00C268BC"/>
    <w:rsid w:val="00C26E43"/>
    <w:rsid w:val="00C309B6"/>
    <w:rsid w:val="00C30CC0"/>
    <w:rsid w:val="00C31CDE"/>
    <w:rsid w:val="00C33F2C"/>
    <w:rsid w:val="00C33FF9"/>
    <w:rsid w:val="00C40532"/>
    <w:rsid w:val="00C4146A"/>
    <w:rsid w:val="00C41F3A"/>
    <w:rsid w:val="00C41F62"/>
    <w:rsid w:val="00C427AA"/>
    <w:rsid w:val="00C47100"/>
    <w:rsid w:val="00C47398"/>
    <w:rsid w:val="00C47521"/>
    <w:rsid w:val="00C47767"/>
    <w:rsid w:val="00C507CA"/>
    <w:rsid w:val="00C52B25"/>
    <w:rsid w:val="00C52F76"/>
    <w:rsid w:val="00C533F8"/>
    <w:rsid w:val="00C5381B"/>
    <w:rsid w:val="00C53983"/>
    <w:rsid w:val="00C5466B"/>
    <w:rsid w:val="00C55BA8"/>
    <w:rsid w:val="00C57472"/>
    <w:rsid w:val="00C57727"/>
    <w:rsid w:val="00C579C4"/>
    <w:rsid w:val="00C623E7"/>
    <w:rsid w:val="00C62602"/>
    <w:rsid w:val="00C62D4C"/>
    <w:rsid w:val="00C63454"/>
    <w:rsid w:val="00C63BB0"/>
    <w:rsid w:val="00C6520B"/>
    <w:rsid w:val="00C702E4"/>
    <w:rsid w:val="00C718EB"/>
    <w:rsid w:val="00C72CF4"/>
    <w:rsid w:val="00C74FAA"/>
    <w:rsid w:val="00C75260"/>
    <w:rsid w:val="00C772BD"/>
    <w:rsid w:val="00C8215A"/>
    <w:rsid w:val="00C823C0"/>
    <w:rsid w:val="00C8324B"/>
    <w:rsid w:val="00C91619"/>
    <w:rsid w:val="00C9188D"/>
    <w:rsid w:val="00C9338A"/>
    <w:rsid w:val="00C94353"/>
    <w:rsid w:val="00C969A2"/>
    <w:rsid w:val="00CA014A"/>
    <w:rsid w:val="00CA0D0D"/>
    <w:rsid w:val="00CA115C"/>
    <w:rsid w:val="00CA2BB2"/>
    <w:rsid w:val="00CA346A"/>
    <w:rsid w:val="00CA35DB"/>
    <w:rsid w:val="00CB00AB"/>
    <w:rsid w:val="00CB15C3"/>
    <w:rsid w:val="00CB362A"/>
    <w:rsid w:val="00CB3931"/>
    <w:rsid w:val="00CB398C"/>
    <w:rsid w:val="00CB3B99"/>
    <w:rsid w:val="00CB7383"/>
    <w:rsid w:val="00CC244C"/>
    <w:rsid w:val="00CC30C5"/>
    <w:rsid w:val="00CC481F"/>
    <w:rsid w:val="00CC53ED"/>
    <w:rsid w:val="00CC5919"/>
    <w:rsid w:val="00CC5C28"/>
    <w:rsid w:val="00CD0CE9"/>
    <w:rsid w:val="00CD156F"/>
    <w:rsid w:val="00CD35C3"/>
    <w:rsid w:val="00CD3B59"/>
    <w:rsid w:val="00CD577A"/>
    <w:rsid w:val="00CD6269"/>
    <w:rsid w:val="00CE3053"/>
    <w:rsid w:val="00CE52CE"/>
    <w:rsid w:val="00CF020A"/>
    <w:rsid w:val="00CF03E3"/>
    <w:rsid w:val="00CF04CC"/>
    <w:rsid w:val="00CF0C9B"/>
    <w:rsid w:val="00CF2687"/>
    <w:rsid w:val="00CF36CE"/>
    <w:rsid w:val="00CF4079"/>
    <w:rsid w:val="00CF5705"/>
    <w:rsid w:val="00CF5DFD"/>
    <w:rsid w:val="00CF6BCC"/>
    <w:rsid w:val="00CF6C8A"/>
    <w:rsid w:val="00CF70A5"/>
    <w:rsid w:val="00D00048"/>
    <w:rsid w:val="00D009FE"/>
    <w:rsid w:val="00D00B22"/>
    <w:rsid w:val="00D01D71"/>
    <w:rsid w:val="00D04BE4"/>
    <w:rsid w:val="00D06102"/>
    <w:rsid w:val="00D06492"/>
    <w:rsid w:val="00D07289"/>
    <w:rsid w:val="00D12A80"/>
    <w:rsid w:val="00D12E4E"/>
    <w:rsid w:val="00D2100B"/>
    <w:rsid w:val="00D2208B"/>
    <w:rsid w:val="00D22B90"/>
    <w:rsid w:val="00D22F1D"/>
    <w:rsid w:val="00D2324A"/>
    <w:rsid w:val="00D2393F"/>
    <w:rsid w:val="00D24378"/>
    <w:rsid w:val="00D25C29"/>
    <w:rsid w:val="00D27E46"/>
    <w:rsid w:val="00D302D1"/>
    <w:rsid w:val="00D30D29"/>
    <w:rsid w:val="00D33342"/>
    <w:rsid w:val="00D42B2A"/>
    <w:rsid w:val="00D501EE"/>
    <w:rsid w:val="00D505A0"/>
    <w:rsid w:val="00D5267E"/>
    <w:rsid w:val="00D5459C"/>
    <w:rsid w:val="00D5614C"/>
    <w:rsid w:val="00D57241"/>
    <w:rsid w:val="00D57C7F"/>
    <w:rsid w:val="00D6237C"/>
    <w:rsid w:val="00D62B47"/>
    <w:rsid w:val="00D646FE"/>
    <w:rsid w:val="00D660C4"/>
    <w:rsid w:val="00D70BC6"/>
    <w:rsid w:val="00D70E1E"/>
    <w:rsid w:val="00D73BF8"/>
    <w:rsid w:val="00D75033"/>
    <w:rsid w:val="00D77358"/>
    <w:rsid w:val="00D80824"/>
    <w:rsid w:val="00D81670"/>
    <w:rsid w:val="00D82D9B"/>
    <w:rsid w:val="00D83D4D"/>
    <w:rsid w:val="00D85F7A"/>
    <w:rsid w:val="00D87052"/>
    <w:rsid w:val="00DA057B"/>
    <w:rsid w:val="00DA2A70"/>
    <w:rsid w:val="00DA3A03"/>
    <w:rsid w:val="00DA5AEB"/>
    <w:rsid w:val="00DA5EED"/>
    <w:rsid w:val="00DA61DF"/>
    <w:rsid w:val="00DA7B33"/>
    <w:rsid w:val="00DB1F05"/>
    <w:rsid w:val="00DB1F2D"/>
    <w:rsid w:val="00DB217E"/>
    <w:rsid w:val="00DB3592"/>
    <w:rsid w:val="00DB3E5A"/>
    <w:rsid w:val="00DB43D4"/>
    <w:rsid w:val="00DB470D"/>
    <w:rsid w:val="00DB485F"/>
    <w:rsid w:val="00DB6FDF"/>
    <w:rsid w:val="00DC2704"/>
    <w:rsid w:val="00DC630C"/>
    <w:rsid w:val="00DC7EE4"/>
    <w:rsid w:val="00DD0A57"/>
    <w:rsid w:val="00DD1CBE"/>
    <w:rsid w:val="00DD2E3E"/>
    <w:rsid w:val="00DE1CFC"/>
    <w:rsid w:val="00DE21E2"/>
    <w:rsid w:val="00DE2B22"/>
    <w:rsid w:val="00DE401E"/>
    <w:rsid w:val="00DE50BC"/>
    <w:rsid w:val="00DE6344"/>
    <w:rsid w:val="00DE65F3"/>
    <w:rsid w:val="00DE69AB"/>
    <w:rsid w:val="00DF041D"/>
    <w:rsid w:val="00DF0F17"/>
    <w:rsid w:val="00DF24D0"/>
    <w:rsid w:val="00DF2F8D"/>
    <w:rsid w:val="00E021C4"/>
    <w:rsid w:val="00E02EAE"/>
    <w:rsid w:val="00E037D3"/>
    <w:rsid w:val="00E04C48"/>
    <w:rsid w:val="00E050B4"/>
    <w:rsid w:val="00E06E46"/>
    <w:rsid w:val="00E104C5"/>
    <w:rsid w:val="00E115B4"/>
    <w:rsid w:val="00E143A2"/>
    <w:rsid w:val="00E158B1"/>
    <w:rsid w:val="00E17EC5"/>
    <w:rsid w:val="00E2491A"/>
    <w:rsid w:val="00E30B4B"/>
    <w:rsid w:val="00E31894"/>
    <w:rsid w:val="00E3459B"/>
    <w:rsid w:val="00E361F0"/>
    <w:rsid w:val="00E375F7"/>
    <w:rsid w:val="00E46153"/>
    <w:rsid w:val="00E472D1"/>
    <w:rsid w:val="00E47343"/>
    <w:rsid w:val="00E4769B"/>
    <w:rsid w:val="00E53ED1"/>
    <w:rsid w:val="00E5648B"/>
    <w:rsid w:val="00E56EC4"/>
    <w:rsid w:val="00E576A5"/>
    <w:rsid w:val="00E57EBB"/>
    <w:rsid w:val="00E603E1"/>
    <w:rsid w:val="00E626C8"/>
    <w:rsid w:val="00E63651"/>
    <w:rsid w:val="00E64431"/>
    <w:rsid w:val="00E656B0"/>
    <w:rsid w:val="00E725A8"/>
    <w:rsid w:val="00E76801"/>
    <w:rsid w:val="00E801F3"/>
    <w:rsid w:val="00E821D8"/>
    <w:rsid w:val="00E851EA"/>
    <w:rsid w:val="00E85A8E"/>
    <w:rsid w:val="00E8632D"/>
    <w:rsid w:val="00E866C2"/>
    <w:rsid w:val="00E86991"/>
    <w:rsid w:val="00E87242"/>
    <w:rsid w:val="00E872EA"/>
    <w:rsid w:val="00E87745"/>
    <w:rsid w:val="00E9087B"/>
    <w:rsid w:val="00E90B5A"/>
    <w:rsid w:val="00E90BB4"/>
    <w:rsid w:val="00E9115B"/>
    <w:rsid w:val="00E9161C"/>
    <w:rsid w:val="00E96E08"/>
    <w:rsid w:val="00E9768C"/>
    <w:rsid w:val="00EA0439"/>
    <w:rsid w:val="00EA09A2"/>
    <w:rsid w:val="00EA0B26"/>
    <w:rsid w:val="00EA2120"/>
    <w:rsid w:val="00EA2C04"/>
    <w:rsid w:val="00EA470A"/>
    <w:rsid w:val="00EA5941"/>
    <w:rsid w:val="00EA665B"/>
    <w:rsid w:val="00EB1A7B"/>
    <w:rsid w:val="00EB3905"/>
    <w:rsid w:val="00EB44C0"/>
    <w:rsid w:val="00EB678D"/>
    <w:rsid w:val="00EB75FA"/>
    <w:rsid w:val="00EC24CC"/>
    <w:rsid w:val="00EC2893"/>
    <w:rsid w:val="00EC6557"/>
    <w:rsid w:val="00EC70EB"/>
    <w:rsid w:val="00ED0221"/>
    <w:rsid w:val="00ED0376"/>
    <w:rsid w:val="00ED0739"/>
    <w:rsid w:val="00ED1147"/>
    <w:rsid w:val="00EE19DE"/>
    <w:rsid w:val="00EE3C56"/>
    <w:rsid w:val="00EE4CD5"/>
    <w:rsid w:val="00EE64C7"/>
    <w:rsid w:val="00EE7431"/>
    <w:rsid w:val="00EF3AF3"/>
    <w:rsid w:val="00EF452B"/>
    <w:rsid w:val="00EF65A5"/>
    <w:rsid w:val="00EF76E7"/>
    <w:rsid w:val="00F00B7B"/>
    <w:rsid w:val="00F02321"/>
    <w:rsid w:val="00F06AE4"/>
    <w:rsid w:val="00F06FDD"/>
    <w:rsid w:val="00F07A2B"/>
    <w:rsid w:val="00F07EA0"/>
    <w:rsid w:val="00F10D7B"/>
    <w:rsid w:val="00F1573C"/>
    <w:rsid w:val="00F17BBF"/>
    <w:rsid w:val="00F2121E"/>
    <w:rsid w:val="00F21F70"/>
    <w:rsid w:val="00F23D93"/>
    <w:rsid w:val="00F23F57"/>
    <w:rsid w:val="00F3023B"/>
    <w:rsid w:val="00F3231B"/>
    <w:rsid w:val="00F33A52"/>
    <w:rsid w:val="00F35957"/>
    <w:rsid w:val="00F36910"/>
    <w:rsid w:val="00F36C39"/>
    <w:rsid w:val="00F378E4"/>
    <w:rsid w:val="00F43108"/>
    <w:rsid w:val="00F54048"/>
    <w:rsid w:val="00F54759"/>
    <w:rsid w:val="00F5661F"/>
    <w:rsid w:val="00F57073"/>
    <w:rsid w:val="00F61058"/>
    <w:rsid w:val="00F61E38"/>
    <w:rsid w:val="00F61F79"/>
    <w:rsid w:val="00F62966"/>
    <w:rsid w:val="00F62ABE"/>
    <w:rsid w:val="00F62B51"/>
    <w:rsid w:val="00F63A24"/>
    <w:rsid w:val="00F63D63"/>
    <w:rsid w:val="00F654CB"/>
    <w:rsid w:val="00F67AF4"/>
    <w:rsid w:val="00F72B75"/>
    <w:rsid w:val="00F744F8"/>
    <w:rsid w:val="00F77064"/>
    <w:rsid w:val="00F77AC0"/>
    <w:rsid w:val="00F77C22"/>
    <w:rsid w:val="00F832A2"/>
    <w:rsid w:val="00F8560C"/>
    <w:rsid w:val="00F8570B"/>
    <w:rsid w:val="00F90124"/>
    <w:rsid w:val="00F91762"/>
    <w:rsid w:val="00F93269"/>
    <w:rsid w:val="00F93993"/>
    <w:rsid w:val="00F97C20"/>
    <w:rsid w:val="00FA2265"/>
    <w:rsid w:val="00FA42AF"/>
    <w:rsid w:val="00FA581C"/>
    <w:rsid w:val="00FA617D"/>
    <w:rsid w:val="00FB44B2"/>
    <w:rsid w:val="00FB47F9"/>
    <w:rsid w:val="00FC136A"/>
    <w:rsid w:val="00FC635B"/>
    <w:rsid w:val="00FD1E91"/>
    <w:rsid w:val="00FD336E"/>
    <w:rsid w:val="00FD38AD"/>
    <w:rsid w:val="00FD3B03"/>
    <w:rsid w:val="00FD4697"/>
    <w:rsid w:val="00FD4DF3"/>
    <w:rsid w:val="00FE0B13"/>
    <w:rsid w:val="00FE1F40"/>
    <w:rsid w:val="00FE226E"/>
    <w:rsid w:val="00FE4ECB"/>
    <w:rsid w:val="00FE5781"/>
    <w:rsid w:val="00FE7E47"/>
    <w:rsid w:val="00FF0100"/>
    <w:rsid w:val="00FF23B1"/>
    <w:rsid w:val="00FF2DA0"/>
    <w:rsid w:val="00FF332D"/>
    <w:rsid w:val="00FF5C01"/>
    <w:rsid w:val="00FF71F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6838"/>
    <w:rPr>
      <w:rFonts w:eastAsiaTheme="minorEastAsia"/>
      <w:lang w:eastAsia="ru-RU"/>
    </w:rPr>
  </w:style>
  <w:style w:type="paragraph" w:styleId="1">
    <w:name w:val="heading 1"/>
    <w:basedOn w:val="a"/>
    <w:next w:val="a"/>
    <w:link w:val="10"/>
    <w:uiPriority w:val="9"/>
    <w:qFormat/>
    <w:rsid w:val="004379E3"/>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4379E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4379E3"/>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4379E3"/>
    <w:pPr>
      <w:keepNext/>
      <w:keepLines/>
      <w:spacing w:before="200" w:after="0" w:line="240" w:lineRule="auto"/>
      <w:outlineLvl w:val="4"/>
    </w:pPr>
    <w:rPr>
      <w:rFonts w:asciiTheme="majorHAnsi" w:eastAsiaTheme="majorEastAsia" w:hAnsiTheme="majorHAnsi" w:cstheme="majorBidi"/>
      <w:color w:val="243F60" w:themeColor="accent1" w:themeShade="7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656838"/>
    <w:rPr>
      <w:b/>
      <w:bCs/>
    </w:rPr>
  </w:style>
  <w:style w:type="paragraph" w:styleId="a4">
    <w:name w:val="List Paragraph"/>
    <w:basedOn w:val="a"/>
    <w:uiPriority w:val="34"/>
    <w:qFormat/>
    <w:rsid w:val="00656838"/>
    <w:pPr>
      <w:ind w:left="720"/>
      <w:contextualSpacing/>
    </w:pPr>
  </w:style>
  <w:style w:type="character" w:customStyle="1" w:styleId="20">
    <w:name w:val="Заголовок 2 Знак"/>
    <w:basedOn w:val="a0"/>
    <w:link w:val="2"/>
    <w:uiPriority w:val="9"/>
    <w:rsid w:val="004379E3"/>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4379E3"/>
    <w:rPr>
      <w:rFonts w:asciiTheme="majorHAnsi" w:eastAsiaTheme="majorEastAsia" w:hAnsiTheme="majorHAnsi" w:cstheme="majorBidi"/>
      <w:b/>
      <w:bCs/>
      <w:color w:val="4F81BD" w:themeColor="accent1"/>
      <w:lang w:eastAsia="ru-RU"/>
    </w:rPr>
  </w:style>
  <w:style w:type="character" w:customStyle="1" w:styleId="hps">
    <w:name w:val="hps"/>
    <w:basedOn w:val="a0"/>
    <w:rsid w:val="004379E3"/>
  </w:style>
  <w:style w:type="character" w:customStyle="1" w:styleId="apple-converted-space">
    <w:name w:val="apple-converted-space"/>
    <w:basedOn w:val="a0"/>
    <w:rsid w:val="004379E3"/>
  </w:style>
  <w:style w:type="character" w:styleId="a5">
    <w:name w:val="Hyperlink"/>
    <w:basedOn w:val="a0"/>
    <w:uiPriority w:val="99"/>
    <w:unhideWhenUsed/>
    <w:rsid w:val="004379E3"/>
    <w:rPr>
      <w:color w:val="0000FF"/>
      <w:u w:val="single"/>
    </w:rPr>
  </w:style>
  <w:style w:type="paragraph" w:styleId="a6">
    <w:name w:val="Normal (Web)"/>
    <w:basedOn w:val="a"/>
    <w:uiPriority w:val="99"/>
    <w:unhideWhenUsed/>
    <w:rsid w:val="004379E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a0"/>
    <w:rsid w:val="004379E3"/>
  </w:style>
  <w:style w:type="paragraph" w:customStyle="1" w:styleId="interactive-chart--image">
    <w:name w:val="interactive-chart--image"/>
    <w:basedOn w:val="a"/>
    <w:rsid w:val="004379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hare">
    <w:name w:val="share"/>
    <w:basedOn w:val="a"/>
    <w:rsid w:val="004379E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editsection">
    <w:name w:val="mw-editsection"/>
    <w:basedOn w:val="a0"/>
    <w:rsid w:val="004379E3"/>
  </w:style>
  <w:style w:type="character" w:customStyle="1" w:styleId="mw-editsection-bracket">
    <w:name w:val="mw-editsection-bracket"/>
    <w:basedOn w:val="a0"/>
    <w:rsid w:val="004379E3"/>
  </w:style>
  <w:style w:type="character" w:styleId="a7">
    <w:name w:val="Emphasis"/>
    <w:basedOn w:val="a0"/>
    <w:uiPriority w:val="20"/>
    <w:qFormat/>
    <w:rsid w:val="004379E3"/>
    <w:rPr>
      <w:i/>
      <w:iCs/>
    </w:rPr>
  </w:style>
  <w:style w:type="table" w:styleId="a8">
    <w:name w:val="Table Grid"/>
    <w:basedOn w:val="a1"/>
    <w:uiPriority w:val="59"/>
    <w:rsid w:val="004379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4379E3"/>
    <w:rPr>
      <w:rFonts w:asciiTheme="majorHAnsi" w:eastAsiaTheme="majorEastAsia" w:hAnsiTheme="majorHAnsi" w:cstheme="majorBidi"/>
      <w:b/>
      <w:bCs/>
      <w:color w:val="365F91" w:themeColor="accent1" w:themeShade="BF"/>
      <w:sz w:val="28"/>
      <w:szCs w:val="28"/>
      <w:lang w:eastAsia="ru-RU"/>
    </w:rPr>
  </w:style>
  <w:style w:type="character" w:customStyle="1" w:styleId="50">
    <w:name w:val="Заголовок 5 Знак"/>
    <w:basedOn w:val="a0"/>
    <w:link w:val="5"/>
    <w:uiPriority w:val="9"/>
    <w:semiHidden/>
    <w:rsid w:val="004379E3"/>
    <w:rPr>
      <w:rFonts w:asciiTheme="majorHAnsi" w:eastAsiaTheme="majorEastAsia" w:hAnsiTheme="majorHAnsi" w:cstheme="majorBidi"/>
      <w:color w:val="243F60" w:themeColor="accent1" w:themeShade="7F"/>
      <w:sz w:val="20"/>
      <w:szCs w:val="20"/>
      <w:lang w:eastAsia="ru-RU"/>
    </w:rPr>
  </w:style>
  <w:style w:type="paragraph" w:styleId="a9">
    <w:name w:val="Body Text"/>
    <w:basedOn w:val="a"/>
    <w:link w:val="aa"/>
    <w:rsid w:val="004379E3"/>
    <w:pPr>
      <w:spacing w:after="0" w:line="240" w:lineRule="auto"/>
    </w:pPr>
    <w:rPr>
      <w:rFonts w:ascii="Times New Roman" w:eastAsia="Times New Roman" w:hAnsi="Times New Roman" w:cs="Times New Roman"/>
      <w:sz w:val="24"/>
      <w:szCs w:val="20"/>
    </w:rPr>
  </w:style>
  <w:style w:type="character" w:customStyle="1" w:styleId="aa">
    <w:name w:val="Основной текст Знак"/>
    <w:basedOn w:val="a0"/>
    <w:link w:val="a9"/>
    <w:rsid w:val="004379E3"/>
    <w:rPr>
      <w:rFonts w:ascii="Times New Roman" w:eastAsia="Times New Roman" w:hAnsi="Times New Roman" w:cs="Times New Roman"/>
      <w:sz w:val="24"/>
      <w:szCs w:val="20"/>
      <w:lang w:eastAsia="ru-RU"/>
    </w:rPr>
  </w:style>
  <w:style w:type="paragraph" w:styleId="ab">
    <w:name w:val="Balloon Text"/>
    <w:basedOn w:val="a"/>
    <w:link w:val="ac"/>
    <w:uiPriority w:val="99"/>
    <w:semiHidden/>
    <w:unhideWhenUsed/>
    <w:rsid w:val="004379E3"/>
    <w:pPr>
      <w:spacing w:after="0" w:line="240" w:lineRule="auto"/>
    </w:pPr>
    <w:rPr>
      <w:rFonts w:ascii="Tahoma" w:eastAsia="Times New Roman" w:hAnsi="Tahoma" w:cs="Tahoma"/>
      <w:sz w:val="16"/>
      <w:szCs w:val="16"/>
    </w:rPr>
  </w:style>
  <w:style w:type="character" w:customStyle="1" w:styleId="ac">
    <w:name w:val="Текст выноски Знак"/>
    <w:basedOn w:val="a0"/>
    <w:link w:val="ab"/>
    <w:uiPriority w:val="99"/>
    <w:semiHidden/>
    <w:rsid w:val="004379E3"/>
    <w:rPr>
      <w:rFonts w:ascii="Tahoma" w:eastAsia="Times New Roman" w:hAnsi="Tahoma" w:cs="Tahoma"/>
      <w:sz w:val="16"/>
      <w:szCs w:val="16"/>
      <w:lang w:eastAsia="ru-RU"/>
    </w:rPr>
  </w:style>
  <w:style w:type="paragraph" w:customStyle="1" w:styleId="picsource">
    <w:name w:val="picsource"/>
    <w:basedOn w:val="a"/>
    <w:rsid w:val="004379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ubsec">
    <w:name w:val="subsec"/>
    <w:basedOn w:val="a"/>
    <w:rsid w:val="004379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iccaption">
    <w:name w:val="piccaption"/>
    <w:basedOn w:val="a"/>
    <w:rsid w:val="004379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ead">
    <w:name w:val="lead"/>
    <w:basedOn w:val="a"/>
    <w:rsid w:val="00606F59"/>
    <w:pPr>
      <w:spacing w:before="100" w:beforeAutospacing="1" w:after="100" w:afterAutospacing="1" w:line="240" w:lineRule="auto"/>
    </w:pPr>
    <w:rPr>
      <w:rFonts w:ascii="Times New Roman" w:eastAsia="Times New Roman" w:hAnsi="Times New Roman" w:cs="Times New Roman"/>
      <w:sz w:val="24"/>
      <w:szCs w:val="24"/>
    </w:rPr>
  </w:style>
  <w:style w:type="paragraph" w:styleId="ad">
    <w:name w:val="header"/>
    <w:basedOn w:val="a"/>
    <w:link w:val="ae"/>
    <w:uiPriority w:val="99"/>
    <w:semiHidden/>
    <w:unhideWhenUsed/>
    <w:rsid w:val="00EC2893"/>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EC2893"/>
    <w:rPr>
      <w:rFonts w:eastAsiaTheme="minorEastAsia"/>
      <w:lang w:eastAsia="ru-RU"/>
    </w:rPr>
  </w:style>
  <w:style w:type="paragraph" w:styleId="af">
    <w:name w:val="footer"/>
    <w:basedOn w:val="a"/>
    <w:link w:val="af0"/>
    <w:uiPriority w:val="99"/>
    <w:unhideWhenUsed/>
    <w:rsid w:val="00EC2893"/>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EC2893"/>
    <w:rPr>
      <w:rFonts w:eastAsiaTheme="minorEastAsia"/>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John_Major" TargetMode="External"/><Relationship Id="rId299" Type="http://schemas.openxmlformats.org/officeDocument/2006/relationships/hyperlink" Target="http://findlink.at/hst-tax" TargetMode="External"/><Relationship Id="rId671" Type="http://schemas.openxmlformats.org/officeDocument/2006/relationships/hyperlink" Target="https://en.wikipedia.org/wiki/Natural_gas" TargetMode="External"/><Relationship Id="rId21" Type="http://schemas.openxmlformats.org/officeDocument/2006/relationships/hyperlink" Target="http://www.focus-economics.com/country-indicator/united-states/fiscal-balance" TargetMode="External"/><Relationship Id="rId63" Type="http://schemas.openxmlformats.org/officeDocument/2006/relationships/hyperlink" Target="https://en.wikipedia.org/wiki/Social_Security_(United_States)" TargetMode="External"/><Relationship Id="rId159" Type="http://schemas.openxmlformats.org/officeDocument/2006/relationships/image" Target="media/image7.png"/><Relationship Id="rId324" Type="http://schemas.openxmlformats.org/officeDocument/2006/relationships/hyperlink" Target="https://en.wikipedia.org/wiki/Investment" TargetMode="External"/><Relationship Id="rId366" Type="http://schemas.openxmlformats.org/officeDocument/2006/relationships/hyperlink" Target="https://en.wikipedia.org/wiki/Gross_domestic_product" TargetMode="External"/><Relationship Id="rId531" Type="http://schemas.openxmlformats.org/officeDocument/2006/relationships/hyperlink" Target="http://www.factosphere.com/pubfinance/budget/sources" TargetMode="External"/><Relationship Id="rId573" Type="http://schemas.openxmlformats.org/officeDocument/2006/relationships/hyperlink" Target="https://en.wikipedia.org/wiki/Dividend" TargetMode="External"/><Relationship Id="rId629" Type="http://schemas.openxmlformats.org/officeDocument/2006/relationships/hyperlink" Target="https://en.wikipedia.org/wiki/Square_meter" TargetMode="External"/><Relationship Id="rId170" Type="http://schemas.openxmlformats.org/officeDocument/2006/relationships/hyperlink" Target="https://en.wikipedia.org/wiki/Decriminalised_parking_enforcement" TargetMode="External"/><Relationship Id="rId226" Type="http://schemas.openxmlformats.org/officeDocument/2006/relationships/hyperlink" Target="https://en.wikipedia.org/wiki/Publicly_funded_health_care" TargetMode="External"/><Relationship Id="rId433" Type="http://schemas.openxmlformats.org/officeDocument/2006/relationships/hyperlink" Target="https://en.wikipedia.org/wiki/Constitution_of_Russia" TargetMode="External"/><Relationship Id="rId268" Type="http://schemas.openxmlformats.org/officeDocument/2006/relationships/hyperlink" Target="https://en.wikipedia.org/wiki/Government_of_Canada" TargetMode="External"/><Relationship Id="rId475" Type="http://schemas.openxmlformats.org/officeDocument/2006/relationships/hyperlink" Target="http://www.tradingeconomics.com/russia/rating" TargetMode="External"/><Relationship Id="rId640" Type="http://schemas.openxmlformats.org/officeDocument/2006/relationships/hyperlink" Target="http://www.tradingeconomics.com/russia/corporate-tax-rate" TargetMode="External"/><Relationship Id="rId682" Type="http://schemas.openxmlformats.org/officeDocument/2006/relationships/hyperlink" Target="https://en.wikipedia.org/wiki/Economy_of_Turkmenistan" TargetMode="External"/><Relationship Id="rId32" Type="http://schemas.openxmlformats.org/officeDocument/2006/relationships/hyperlink" Target="https://en.wikipedia.org/wiki/President_of_the_United_States" TargetMode="External"/><Relationship Id="rId74" Type="http://schemas.openxmlformats.org/officeDocument/2006/relationships/hyperlink" Target="https://www.nationalpriorities.org/budget-basics/federal-budget-101/glossary/" TargetMode="External"/><Relationship Id="rId128" Type="http://schemas.openxmlformats.org/officeDocument/2006/relationships/hyperlink" Target="https://en.wikipedia.org/wiki/HM_Revenue_and_Customs" TargetMode="External"/><Relationship Id="rId335" Type="http://schemas.openxmlformats.org/officeDocument/2006/relationships/hyperlink" Target="https://en.wikipedia.org/wiki/Banking_in_China" TargetMode="External"/><Relationship Id="rId377" Type="http://schemas.openxmlformats.org/officeDocument/2006/relationships/hyperlink" Target="https://en.wikipedia.org/wiki/Culture" TargetMode="External"/><Relationship Id="rId500" Type="http://schemas.openxmlformats.org/officeDocument/2006/relationships/hyperlink" Target="http://www.factosphere.com/pubfinance/budget/sources" TargetMode="External"/><Relationship Id="rId542" Type="http://schemas.openxmlformats.org/officeDocument/2006/relationships/hyperlink" Target="https://en.wikipedia.org/wiki/Energy_policy_of_Russia" TargetMode="External"/><Relationship Id="rId584" Type="http://schemas.openxmlformats.org/officeDocument/2006/relationships/hyperlink" Target="https://en.wikipedia.org/wiki/Oil_Refinery" TargetMode="External"/><Relationship Id="rId5" Type="http://schemas.openxmlformats.org/officeDocument/2006/relationships/footnotes" Target="footnotes.xml"/><Relationship Id="rId181" Type="http://schemas.openxmlformats.org/officeDocument/2006/relationships/hyperlink" Target="https://en.wikipedia.org/wiki/Canadians" TargetMode="External"/><Relationship Id="rId237" Type="http://schemas.openxmlformats.org/officeDocument/2006/relationships/hyperlink" Target="https://en.wikipedia.org/wiki/Dutch_disease" TargetMode="External"/><Relationship Id="rId402" Type="http://schemas.openxmlformats.org/officeDocument/2006/relationships/image" Target="media/image15.png"/><Relationship Id="rId279" Type="http://schemas.openxmlformats.org/officeDocument/2006/relationships/hyperlink" Target="https://en.wikipedia.org/wiki/Manitoba" TargetMode="External"/><Relationship Id="rId444" Type="http://schemas.openxmlformats.org/officeDocument/2006/relationships/hyperlink" Target="https://en.wikipedia.org/wiki/1998_Russian_financial_crisis" TargetMode="External"/><Relationship Id="rId486" Type="http://schemas.openxmlformats.org/officeDocument/2006/relationships/hyperlink" Target="http://www.factosphere.com/pubfinance/budget/sources" TargetMode="External"/><Relationship Id="rId651" Type="http://schemas.openxmlformats.org/officeDocument/2006/relationships/hyperlink" Target="http://www.tradingeconomics.com/russia/social-security-rate-for-employees" TargetMode="External"/><Relationship Id="rId693" Type="http://schemas.openxmlformats.org/officeDocument/2006/relationships/hyperlink" Target="http://www.turkmenistan.it/banchecommercialigb.html" TargetMode="External"/><Relationship Id="rId43" Type="http://schemas.openxmlformats.org/officeDocument/2006/relationships/hyperlink" Target="https://en.wikipedia.org/wiki/Government_budget_balance" TargetMode="External"/><Relationship Id="rId139" Type="http://schemas.openxmlformats.org/officeDocument/2006/relationships/hyperlink" Target="http://www.tradingeconomics.com/united-kingdom/government-budget" TargetMode="External"/><Relationship Id="rId290" Type="http://schemas.openxmlformats.org/officeDocument/2006/relationships/hyperlink" Target="https://en.wikipedia.org/wiki/Winnipeg" TargetMode="External"/><Relationship Id="rId304" Type="http://schemas.openxmlformats.org/officeDocument/2006/relationships/hyperlink" Target="https://en.wikipedia.org/wiki/Gross_domestic_product" TargetMode="External"/><Relationship Id="rId346" Type="http://schemas.openxmlformats.org/officeDocument/2006/relationships/hyperlink" Target="https://en.wikipedia.org/wiki/China_Banking_Regulatory_Commission" TargetMode="External"/><Relationship Id="rId388" Type="http://schemas.openxmlformats.org/officeDocument/2006/relationships/hyperlink" Target="https://en.wikipedia.org/wiki/Pension" TargetMode="External"/><Relationship Id="rId511" Type="http://schemas.openxmlformats.org/officeDocument/2006/relationships/hyperlink" Target="http://www.factosphere.com/pubfinance/budget/sources" TargetMode="External"/><Relationship Id="rId553" Type="http://schemas.openxmlformats.org/officeDocument/2006/relationships/hyperlink" Target="https://en.wikipedia.org/wiki/Copyright" TargetMode="External"/><Relationship Id="rId609" Type="http://schemas.openxmlformats.org/officeDocument/2006/relationships/hyperlink" Target="https://en.wikipedia.org/wiki/Civil_litigation" TargetMode="External"/><Relationship Id="rId85" Type="http://schemas.openxmlformats.org/officeDocument/2006/relationships/hyperlink" Target="http://www.encyclopedia.com/social-sciences-and-law/economics-business-and-labor/economics-terms-and-concepts/gross-domestic" TargetMode="External"/><Relationship Id="rId150" Type="http://schemas.openxmlformats.org/officeDocument/2006/relationships/hyperlink" Target="http://www.tradingeconomics.com/united-kingdom/military-expenditure" TargetMode="External"/><Relationship Id="rId192" Type="http://schemas.openxmlformats.org/officeDocument/2006/relationships/hyperlink" Target="https://en.wikipedia.org/wiki/Newfoundland_and_Labrador" TargetMode="External"/><Relationship Id="rId206" Type="http://schemas.openxmlformats.org/officeDocument/2006/relationships/hyperlink" Target="https://en.wikipedia.org/wiki/Shopping_mall" TargetMode="External"/><Relationship Id="rId413" Type="http://schemas.openxmlformats.org/officeDocument/2006/relationships/hyperlink" Target="https://en.wikipedia.org/wiki/Temasek_Holdings" TargetMode="External"/><Relationship Id="rId595" Type="http://schemas.openxmlformats.org/officeDocument/2006/relationships/hyperlink" Target="https://en.wikipedia.org/wiki/Taxation_in_Russia" TargetMode="External"/><Relationship Id="rId248" Type="http://schemas.openxmlformats.org/officeDocument/2006/relationships/hyperlink" Target="http://www.bankofcanada.ca/core-functions/financial-system/clearing-and-settlement-systems/" TargetMode="External"/><Relationship Id="rId455" Type="http://schemas.openxmlformats.org/officeDocument/2006/relationships/hyperlink" Target="https://en.wikipedia.org/wiki/Mineral_extraction" TargetMode="External"/><Relationship Id="rId497" Type="http://schemas.openxmlformats.org/officeDocument/2006/relationships/hyperlink" Target="http://www.factosphere.com/pubfinance/budget/sources" TargetMode="External"/><Relationship Id="rId620" Type="http://schemas.openxmlformats.org/officeDocument/2006/relationships/hyperlink" Target="https://en.wikipedia.org/wiki/Fixed_assets" TargetMode="External"/><Relationship Id="rId662" Type="http://schemas.openxmlformats.org/officeDocument/2006/relationships/image" Target="media/image29.png"/><Relationship Id="rId12" Type="http://schemas.openxmlformats.org/officeDocument/2006/relationships/hyperlink" Target="http://www.focus-economics.com/country-indicator/united-states/gdp" TargetMode="External"/><Relationship Id="rId108" Type="http://schemas.openxmlformats.org/officeDocument/2006/relationships/hyperlink" Target="https://en.wikipedia.org/wiki/Tariff" TargetMode="External"/><Relationship Id="rId315" Type="http://schemas.openxmlformats.org/officeDocument/2006/relationships/hyperlink" Target="https://en.wikipedia.org/wiki/Globalization" TargetMode="External"/><Relationship Id="rId357" Type="http://schemas.openxmlformats.org/officeDocument/2006/relationships/hyperlink" Target="https://en.wikipedia.org/wiki/Company" TargetMode="External"/><Relationship Id="rId522" Type="http://schemas.openxmlformats.org/officeDocument/2006/relationships/image" Target="media/image23.png"/><Relationship Id="rId54" Type="http://schemas.openxmlformats.org/officeDocument/2006/relationships/hyperlink" Target="https://www.law.cornell.edu/uscode/text/31/1105" TargetMode="External"/><Relationship Id="rId96" Type="http://schemas.openxmlformats.org/officeDocument/2006/relationships/hyperlink" Target="http://www.encyclopedia.com/places/britain-ireland-france-and-low-countries/french-political-geography/caen" TargetMode="External"/><Relationship Id="rId161" Type="http://schemas.openxmlformats.org/officeDocument/2006/relationships/hyperlink" Target="https://en.wikipedia.org/wiki/Her_Majesty%27s_Revenue_and_Customs" TargetMode="External"/><Relationship Id="rId217" Type="http://schemas.openxmlformats.org/officeDocument/2006/relationships/hyperlink" Target="https://en.wikipedia.org/wiki/High_tech" TargetMode="External"/><Relationship Id="rId399" Type="http://schemas.openxmlformats.org/officeDocument/2006/relationships/image" Target="media/image12.png"/><Relationship Id="rId564" Type="http://schemas.openxmlformats.org/officeDocument/2006/relationships/hyperlink" Target="https://en.wikipedia.org/wiki/Category:Potassium_minerals" TargetMode="External"/><Relationship Id="rId259" Type="http://schemas.openxmlformats.org/officeDocument/2006/relationships/hyperlink" Target="http://www.worldbank.org/" TargetMode="External"/><Relationship Id="rId424" Type="http://schemas.openxmlformats.org/officeDocument/2006/relationships/hyperlink" Target="https://en.wikipedia.org/wiki/Financial_regulation" TargetMode="External"/><Relationship Id="rId466" Type="http://schemas.openxmlformats.org/officeDocument/2006/relationships/hyperlink" Target="http://www.tradingeconomics.com/russia/government-revenues" TargetMode="External"/><Relationship Id="rId631" Type="http://schemas.openxmlformats.org/officeDocument/2006/relationships/hyperlink" Target="https://en.wikipedia.org/wiki/Business-to-business" TargetMode="External"/><Relationship Id="rId673" Type="http://schemas.openxmlformats.org/officeDocument/2006/relationships/hyperlink" Target="https://en.wikipedia.org/wiki/List_of_countries_by_natural_gas_proven_reserves" TargetMode="External"/><Relationship Id="rId23" Type="http://schemas.openxmlformats.org/officeDocument/2006/relationships/hyperlink" Target="http://www.focus-economics.com/country-indicator/united-states/money" TargetMode="External"/><Relationship Id="rId119" Type="http://schemas.openxmlformats.org/officeDocument/2006/relationships/hyperlink" Target="https://en.wikipedia.org/wiki/Labour_Party_(UK)" TargetMode="External"/><Relationship Id="rId270" Type="http://schemas.openxmlformats.org/officeDocument/2006/relationships/hyperlink" Target="https://en.wikipedia.org/wiki/Territories_of_Canada" TargetMode="External"/><Relationship Id="rId326" Type="http://schemas.openxmlformats.org/officeDocument/2006/relationships/hyperlink" Target="https://en.wikipedia.org/wiki/Market_liquidity" TargetMode="External"/><Relationship Id="rId533" Type="http://schemas.openxmlformats.org/officeDocument/2006/relationships/hyperlink" Target="https://en.wikipedia.org/wiki/Russian_language" TargetMode="External"/><Relationship Id="rId65" Type="http://schemas.openxmlformats.org/officeDocument/2006/relationships/hyperlink" Target="https://en.wikipedia.org/wiki/Excise_tax_in_the_United_States" TargetMode="External"/><Relationship Id="rId130" Type="http://schemas.openxmlformats.org/officeDocument/2006/relationships/hyperlink" Target="https://en.wikipedia.org/wiki/Public_sector" TargetMode="External"/><Relationship Id="rId368" Type="http://schemas.openxmlformats.org/officeDocument/2006/relationships/hyperlink" Target="https://en.wikipedia.org/wiki/Government_budget_deficit" TargetMode="External"/><Relationship Id="rId575" Type="http://schemas.openxmlformats.org/officeDocument/2006/relationships/hyperlink" Target="https://en.wikipedia.org/wiki/Tax_haven" TargetMode="External"/><Relationship Id="rId172" Type="http://schemas.openxmlformats.org/officeDocument/2006/relationships/hyperlink" Target="https://en.wikipedia.org/wiki/Gross_domestic_product" TargetMode="External"/><Relationship Id="rId228" Type="http://schemas.openxmlformats.org/officeDocument/2006/relationships/hyperlink" Target="https://en.wikipedia.org/wiki/Blue-collar_worker" TargetMode="External"/><Relationship Id="rId435" Type="http://schemas.openxmlformats.org/officeDocument/2006/relationships/hyperlink" Target="https://en.wikipedia.org/wiki/Federal_budget_of_Russia" TargetMode="External"/><Relationship Id="rId477" Type="http://schemas.openxmlformats.org/officeDocument/2006/relationships/image" Target="media/image18.png"/><Relationship Id="rId600" Type="http://schemas.openxmlformats.org/officeDocument/2006/relationships/hyperlink" Target="https://en.wikipedia.org/wiki/Notary" TargetMode="External"/><Relationship Id="rId642" Type="http://schemas.openxmlformats.org/officeDocument/2006/relationships/hyperlink" Target="http://www.tradingeconomics.com/russia/personal-income-tax-rate" TargetMode="External"/><Relationship Id="rId684" Type="http://schemas.openxmlformats.org/officeDocument/2006/relationships/hyperlink" Target="https://en.wikipedia.org/wiki/Turkmenistan" TargetMode="External"/><Relationship Id="rId281" Type="http://schemas.openxmlformats.org/officeDocument/2006/relationships/hyperlink" Target="https://en.wikipedia.org/wiki/Toronto" TargetMode="External"/><Relationship Id="rId337" Type="http://schemas.openxmlformats.org/officeDocument/2006/relationships/hyperlink" Target="https://en.wikipedia.org/wiki/Banking_in_China" TargetMode="External"/><Relationship Id="rId502" Type="http://schemas.openxmlformats.org/officeDocument/2006/relationships/hyperlink" Target="http://www.factosphere.com/pubfinance/budget/www.pfrf.ru" TargetMode="External"/><Relationship Id="rId34" Type="http://schemas.openxmlformats.org/officeDocument/2006/relationships/hyperlink" Target="https://en.wikipedia.org/wiki/Fiscal_year" TargetMode="External"/><Relationship Id="rId76" Type="http://schemas.openxmlformats.org/officeDocument/2006/relationships/hyperlink" Target="https://www.nationalpriorities.org/budget-basics/federal-budget-101/glossary/" TargetMode="External"/><Relationship Id="rId141" Type="http://schemas.openxmlformats.org/officeDocument/2006/relationships/hyperlink" Target="http://www.tradingeconomics.com/united-kingdom/government-budget-value" TargetMode="External"/><Relationship Id="rId379" Type="http://schemas.openxmlformats.org/officeDocument/2006/relationships/hyperlink" Target="https://en.wikipedia.org/wiki/Science" TargetMode="External"/><Relationship Id="rId544" Type="http://schemas.openxmlformats.org/officeDocument/2006/relationships/hyperlink" Target="https://en.wikipedia.org/wiki/Telecommunications" TargetMode="External"/><Relationship Id="rId586" Type="http://schemas.openxmlformats.org/officeDocument/2006/relationships/hyperlink" Target="https://en.wikipedia.org/wiki/Suggested_retail_price" TargetMode="External"/><Relationship Id="rId7" Type="http://schemas.openxmlformats.org/officeDocument/2006/relationships/image" Target="media/image1.png"/><Relationship Id="rId183" Type="http://schemas.openxmlformats.org/officeDocument/2006/relationships/hyperlink" Target="https://en.wikipedia.org/wiki/Primary_sector_of_industry" TargetMode="External"/><Relationship Id="rId239" Type="http://schemas.openxmlformats.org/officeDocument/2006/relationships/hyperlink" Target="https://en.wikipedia.org/wiki/National_Energy_Policy" TargetMode="External"/><Relationship Id="rId390" Type="http://schemas.openxmlformats.org/officeDocument/2006/relationships/hyperlink" Target="https://en.wikipedia.org/wiki/Innovation" TargetMode="External"/><Relationship Id="rId404" Type="http://schemas.openxmlformats.org/officeDocument/2006/relationships/hyperlink" Target="https://en.wikipedia.org/wiki/Corruption" TargetMode="External"/><Relationship Id="rId446" Type="http://schemas.openxmlformats.org/officeDocument/2006/relationships/hyperlink" Target="https://en.wikipedia.org/wiki/Banking_in_Russia" TargetMode="External"/><Relationship Id="rId611" Type="http://schemas.openxmlformats.org/officeDocument/2006/relationships/hyperlink" Target="https://en.wikipedia.org/wiki/Property_tax" TargetMode="External"/><Relationship Id="rId653" Type="http://schemas.openxmlformats.org/officeDocument/2006/relationships/hyperlink" Target="https://en.wikipedia.org/wiki/National_Bank_of_Kyrgyzstan" TargetMode="External"/><Relationship Id="rId250" Type="http://schemas.openxmlformats.org/officeDocument/2006/relationships/hyperlink" Target="http://www.bankofcanada.ca/core-functions/financial-system/clearing-and-settlement-systems/" TargetMode="External"/><Relationship Id="rId292" Type="http://schemas.openxmlformats.org/officeDocument/2006/relationships/hyperlink" Target="https://en.wikipedia.org/wiki/London,_Ontario" TargetMode="External"/><Relationship Id="rId306" Type="http://schemas.openxmlformats.org/officeDocument/2006/relationships/hyperlink" Target="https://en.wikipedia.org/wiki/Socialist_market_economy" TargetMode="External"/><Relationship Id="rId488" Type="http://schemas.openxmlformats.org/officeDocument/2006/relationships/hyperlink" Target="http://www.factosphere.com/pubfinance/budget/sources" TargetMode="External"/><Relationship Id="rId695" Type="http://schemas.openxmlformats.org/officeDocument/2006/relationships/hyperlink" Target="http://accountlearning.com/issue-of-debentures-sebi-guidelines/" TargetMode="External"/><Relationship Id="rId45" Type="http://schemas.openxmlformats.org/officeDocument/2006/relationships/hyperlink" Target="https://en.wikipedia.org/wiki/Great_Recession" TargetMode="External"/><Relationship Id="rId87" Type="http://schemas.openxmlformats.org/officeDocument/2006/relationships/hyperlink" Target="https://en.wikipedia.org/wiki/National_Assembly_(France)" TargetMode="External"/><Relationship Id="rId110" Type="http://schemas.openxmlformats.org/officeDocument/2006/relationships/hyperlink" Target="https://en.wikipedia.org/wiki/Margaret_Thatcher" TargetMode="External"/><Relationship Id="rId348" Type="http://schemas.openxmlformats.org/officeDocument/2006/relationships/hyperlink" Target="https://en.wikipedia.org/wiki/China_Securities_Regulatory_Commission" TargetMode="External"/><Relationship Id="rId513" Type="http://schemas.openxmlformats.org/officeDocument/2006/relationships/hyperlink" Target="http://www.factosphere.com/pubfinance/budget/sources" TargetMode="External"/><Relationship Id="rId555" Type="http://schemas.openxmlformats.org/officeDocument/2006/relationships/hyperlink" Target="https://en.wikipedia.org/wiki/Integrated_circuit" TargetMode="External"/><Relationship Id="rId597" Type="http://schemas.openxmlformats.org/officeDocument/2006/relationships/hyperlink" Target="https://en.wikipedia.org/wiki/Income_Tax" TargetMode="External"/><Relationship Id="rId152" Type="http://schemas.openxmlformats.org/officeDocument/2006/relationships/hyperlink" Target="http://www.tradingeconomics.com/united-kingdom/asylum-applications" TargetMode="External"/><Relationship Id="rId194" Type="http://schemas.openxmlformats.org/officeDocument/2006/relationships/hyperlink" Target="https://en.wikipedia.org/wiki/Gold" TargetMode="External"/><Relationship Id="rId208" Type="http://schemas.openxmlformats.org/officeDocument/2006/relationships/hyperlink" Target="https://en.wikipedia.org/wiki/Wal-Mart" TargetMode="External"/><Relationship Id="rId415" Type="http://schemas.openxmlformats.org/officeDocument/2006/relationships/hyperlink" Target="https://en.wikipedia.org/wiki/SingTel" TargetMode="External"/><Relationship Id="rId457" Type="http://schemas.openxmlformats.org/officeDocument/2006/relationships/image" Target="media/image16.png"/><Relationship Id="rId622" Type="http://schemas.openxmlformats.org/officeDocument/2006/relationships/hyperlink" Target="https://en.wikipedia.org/wiki/Moscow" TargetMode="External"/><Relationship Id="rId261" Type="http://schemas.openxmlformats.org/officeDocument/2006/relationships/hyperlink" Target="http://www.g20.org/" TargetMode="External"/><Relationship Id="rId499" Type="http://schemas.openxmlformats.org/officeDocument/2006/relationships/hyperlink" Target="http://www.factosphere.com/pubfinance/budget/sources" TargetMode="External"/><Relationship Id="rId664" Type="http://schemas.openxmlformats.org/officeDocument/2006/relationships/image" Target="media/image31.png"/><Relationship Id="rId14" Type="http://schemas.openxmlformats.org/officeDocument/2006/relationships/hyperlink" Target="http://www.focus-economics.com/country-indicator/united-states/consumption" TargetMode="External"/><Relationship Id="rId56" Type="http://schemas.openxmlformats.org/officeDocument/2006/relationships/hyperlink" Target="https://en.wikipedia.org/wiki/Authorization_bill" TargetMode="External"/><Relationship Id="rId317" Type="http://schemas.openxmlformats.org/officeDocument/2006/relationships/hyperlink" Target="https://en.wikipedia.org/wiki/Eleventh_Five-Year_Plan_(People%27s_Republic_of_China)" TargetMode="External"/><Relationship Id="rId359" Type="http://schemas.openxmlformats.org/officeDocument/2006/relationships/hyperlink" Target="https://en.wikipedia.org/wiki/Bank_of_China" TargetMode="External"/><Relationship Id="rId524" Type="http://schemas.openxmlformats.org/officeDocument/2006/relationships/hyperlink" Target="http://www.factosphere.com/pubfinance/budget/sources" TargetMode="External"/><Relationship Id="rId566" Type="http://schemas.openxmlformats.org/officeDocument/2006/relationships/hyperlink" Target="https://en.wikipedia.org/wiki/Hydroelectricity" TargetMode="External"/><Relationship Id="rId98" Type="http://schemas.openxmlformats.org/officeDocument/2006/relationships/hyperlink" Target="https://en.wikipedia.org/wiki/Tariffs" TargetMode="External"/><Relationship Id="rId121" Type="http://schemas.openxmlformats.org/officeDocument/2006/relationships/hyperlink" Target="https://en.wikipedia.org/wiki/John_Smith_(Labour_Party_leader)" TargetMode="External"/><Relationship Id="rId163" Type="http://schemas.openxmlformats.org/officeDocument/2006/relationships/hyperlink" Target="https://en.wikipedia.org/wiki/Income_tax" TargetMode="External"/><Relationship Id="rId219" Type="http://schemas.openxmlformats.org/officeDocument/2006/relationships/hyperlink" Target="https://en.wikipedia.org/wiki/Tourism_in_Canada" TargetMode="External"/><Relationship Id="rId370" Type="http://schemas.openxmlformats.org/officeDocument/2006/relationships/hyperlink" Target="https://en.wikipedia.org/wiki/Government_budget" TargetMode="External"/><Relationship Id="rId426" Type="http://schemas.openxmlformats.org/officeDocument/2006/relationships/hyperlink" Target="https://en.wikipedia.org/wiki/Federal_Reserve_System" TargetMode="External"/><Relationship Id="rId633" Type="http://schemas.openxmlformats.org/officeDocument/2006/relationships/hyperlink" Target="https://en.wikipedia.org/wiki/Fishery" TargetMode="External"/><Relationship Id="rId230" Type="http://schemas.openxmlformats.org/officeDocument/2006/relationships/hyperlink" Target="https://en.wikipedia.org/wiki/Saskatchewan" TargetMode="External"/><Relationship Id="rId468" Type="http://schemas.openxmlformats.org/officeDocument/2006/relationships/hyperlink" Target="http://www.tradingeconomics.com/russia/government-debt" TargetMode="External"/><Relationship Id="rId675" Type="http://schemas.openxmlformats.org/officeDocument/2006/relationships/hyperlink" Target="https://en.wikipedia.org/wiki/Cotton" TargetMode="External"/><Relationship Id="rId25" Type="http://schemas.openxmlformats.org/officeDocument/2006/relationships/hyperlink" Target="http://www.focus-economics.com/country-indicator/united-states/inflation" TargetMode="External"/><Relationship Id="rId67" Type="http://schemas.openxmlformats.org/officeDocument/2006/relationships/hyperlink" Target="https://en.wikipedia.org/wiki/Duty_(economics)" TargetMode="External"/><Relationship Id="rId272" Type="http://schemas.openxmlformats.org/officeDocument/2006/relationships/hyperlink" Target="https://en.wikipedia.org/wiki/Canadian_dollars" TargetMode="External"/><Relationship Id="rId328" Type="http://schemas.openxmlformats.org/officeDocument/2006/relationships/hyperlink" Target="https://en.wikipedia.org/wiki/Money" TargetMode="External"/><Relationship Id="rId535" Type="http://schemas.openxmlformats.org/officeDocument/2006/relationships/hyperlink" Target="https://en.wikipedia.org/wiki/Corporate_tax" TargetMode="External"/><Relationship Id="rId577" Type="http://schemas.openxmlformats.org/officeDocument/2006/relationships/hyperlink" Target="https://en.wikipedia.org/wiki/Alcohol" TargetMode="External"/><Relationship Id="rId700" Type="http://schemas.openxmlformats.org/officeDocument/2006/relationships/hyperlink" Target="http://www.weforum.org/reports/global-competitiveness-report-2014-2015" TargetMode="External"/><Relationship Id="rId132" Type="http://schemas.openxmlformats.org/officeDocument/2006/relationships/hyperlink" Target="https://en.wikipedia.org/wiki/House_of_Commons_of_the_United_Kingdom" TargetMode="External"/><Relationship Id="rId174" Type="http://schemas.openxmlformats.org/officeDocument/2006/relationships/image" Target="media/image8.png"/><Relationship Id="rId381" Type="http://schemas.openxmlformats.org/officeDocument/2006/relationships/hyperlink" Target="https://en.wikipedia.org/wiki/Construction" TargetMode="External"/><Relationship Id="rId602" Type="http://schemas.openxmlformats.org/officeDocument/2006/relationships/hyperlink" Target="https://en.wikipedia.org/w/index.php?title=Refinancing_rate&amp;action=edit&amp;redlink=1" TargetMode="External"/><Relationship Id="rId241" Type="http://schemas.openxmlformats.org/officeDocument/2006/relationships/hyperlink" Target="https://en.wikipedia.org/wiki/World_Trade_Organization" TargetMode="External"/><Relationship Id="rId437" Type="http://schemas.openxmlformats.org/officeDocument/2006/relationships/hyperlink" Target="https://en.wikipedia.org/wiki/State_Duma" TargetMode="External"/><Relationship Id="rId479" Type="http://schemas.openxmlformats.org/officeDocument/2006/relationships/image" Target="media/image20.png"/><Relationship Id="rId644" Type="http://schemas.openxmlformats.org/officeDocument/2006/relationships/hyperlink" Target="http://www.tradingeconomics.com/russia/sales-tax-rate" TargetMode="External"/><Relationship Id="rId686" Type="http://schemas.openxmlformats.org/officeDocument/2006/relationships/hyperlink" Target="https://en.wikipedia.org/wiki/President_of_Turkmenistan" TargetMode="External"/><Relationship Id="rId36" Type="http://schemas.openxmlformats.org/officeDocument/2006/relationships/hyperlink" Target="https://en.wikipedia.org/wiki/Appropriations_bill_(United_States)" TargetMode="External"/><Relationship Id="rId283" Type="http://schemas.openxmlformats.org/officeDocument/2006/relationships/hyperlink" Target="https://en.wikipedia.org/wiki/New_Brunswick" TargetMode="External"/><Relationship Id="rId339" Type="http://schemas.openxmlformats.org/officeDocument/2006/relationships/hyperlink" Target="https://en.wikipedia.org/wiki/Bank_of_China" TargetMode="External"/><Relationship Id="rId490" Type="http://schemas.openxmlformats.org/officeDocument/2006/relationships/hyperlink" Target="http://www.factosphere.com/pubfinance/budget/sources" TargetMode="External"/><Relationship Id="rId504" Type="http://schemas.openxmlformats.org/officeDocument/2006/relationships/hyperlink" Target="http://www.factosphere.com/pubfinance/budget/sources" TargetMode="External"/><Relationship Id="rId546" Type="http://schemas.openxmlformats.org/officeDocument/2006/relationships/hyperlink" Target="https://en.wikipedia.org/wiki/Fiscal_year" TargetMode="External"/><Relationship Id="rId78" Type="http://schemas.openxmlformats.org/officeDocument/2006/relationships/hyperlink" Target="https://www.nationalpriorities.org/budget-basics/federal-budget-101/glossary/" TargetMode="External"/><Relationship Id="rId101" Type="http://schemas.openxmlformats.org/officeDocument/2006/relationships/hyperlink" Target="https://en.wikipedia.org/wiki/European_Union" TargetMode="External"/><Relationship Id="rId143" Type="http://schemas.openxmlformats.org/officeDocument/2006/relationships/hyperlink" Target="http://www.tradingeconomics.com/united-kingdom/government-spending" TargetMode="External"/><Relationship Id="rId185" Type="http://schemas.openxmlformats.org/officeDocument/2006/relationships/hyperlink" Target="https://en.wikipedia.org/wiki/Petroleum" TargetMode="External"/><Relationship Id="rId350" Type="http://schemas.openxmlformats.org/officeDocument/2006/relationships/hyperlink" Target="https://en.wikipedia.org/wiki/Shareholder" TargetMode="External"/><Relationship Id="rId406" Type="http://schemas.openxmlformats.org/officeDocument/2006/relationships/hyperlink" Target="https://en.wikipedia.org/wiki/Swiss_banks" TargetMode="External"/><Relationship Id="rId588" Type="http://schemas.openxmlformats.org/officeDocument/2006/relationships/hyperlink" Target="https://en.wikipedia.org/wiki/Dividends" TargetMode="External"/><Relationship Id="rId9" Type="http://schemas.openxmlformats.org/officeDocument/2006/relationships/hyperlink" Target="http://www.focus-economics.com/country-indicator/united-states/population" TargetMode="External"/><Relationship Id="rId210" Type="http://schemas.openxmlformats.org/officeDocument/2006/relationships/hyperlink" Target="https://en.wikipedia.org/wiki/Best_Buy" TargetMode="External"/><Relationship Id="rId392" Type="http://schemas.openxmlformats.org/officeDocument/2006/relationships/hyperlink" Target="https://en.wikipedia.org/wiki/Technology" TargetMode="External"/><Relationship Id="rId448" Type="http://schemas.openxmlformats.org/officeDocument/2006/relationships/hyperlink" Target="https://en.wikipedia.org/wiki/2008_Russian_financial_crisis" TargetMode="External"/><Relationship Id="rId613" Type="http://schemas.openxmlformats.org/officeDocument/2006/relationships/hyperlink" Target="https://en.wikipedia.org/wiki/Land_tax" TargetMode="External"/><Relationship Id="rId655" Type="http://schemas.openxmlformats.org/officeDocument/2006/relationships/hyperlink" Target="https://en.wikipedia.org/w/index.php?title=Promstroybank&amp;action=edit&amp;redlink=1" TargetMode="External"/><Relationship Id="rId697" Type="http://schemas.openxmlformats.org/officeDocument/2006/relationships/hyperlink" Target="http://accountlearning.com/growth-of-indian-money-market-steps-taken-by-government/" TargetMode="External"/><Relationship Id="rId252" Type="http://schemas.openxmlformats.org/officeDocument/2006/relationships/hyperlink" Target="http://www.bankofcanada.ca/core-functions/financial-system/clearing-and-settlement-systems/" TargetMode="External"/><Relationship Id="rId294" Type="http://schemas.openxmlformats.org/officeDocument/2006/relationships/hyperlink" Target="https://en.wikipedia.org/wiki/Mississauga" TargetMode="External"/><Relationship Id="rId308" Type="http://schemas.openxmlformats.org/officeDocument/2006/relationships/hyperlink" Target="https://en.wikipedia.org/wiki/Productivity" TargetMode="External"/><Relationship Id="rId515" Type="http://schemas.openxmlformats.org/officeDocument/2006/relationships/hyperlink" Target="http://www.factosphere.com/pubfinance/budget/sources" TargetMode="External"/><Relationship Id="rId47" Type="http://schemas.openxmlformats.org/officeDocument/2006/relationships/hyperlink" Target="https://en.wikipedia.org/wiki/Political_positions_of_Donald_Trump" TargetMode="External"/><Relationship Id="rId89" Type="http://schemas.openxmlformats.org/officeDocument/2006/relationships/hyperlink" Target="https://en.wikipedia.org/wiki/Golden_Rule" TargetMode="External"/><Relationship Id="rId112" Type="http://schemas.openxmlformats.org/officeDocument/2006/relationships/hyperlink" Target="https://en.wikipedia.org/wiki/Privatised" TargetMode="External"/><Relationship Id="rId154" Type="http://schemas.openxmlformats.org/officeDocument/2006/relationships/hyperlink" Target="https://en.wikipedia.org/wiki/Fiscal_year" TargetMode="External"/><Relationship Id="rId361" Type="http://schemas.openxmlformats.org/officeDocument/2006/relationships/hyperlink" Target="https://en.wikipedia.org/wiki/International_Monetary_Fund" TargetMode="External"/><Relationship Id="rId557" Type="http://schemas.openxmlformats.org/officeDocument/2006/relationships/hyperlink" Target="https://en.wikipedia.org/wiki/Constitutional_Court_of_Russia" TargetMode="External"/><Relationship Id="rId599" Type="http://schemas.openxmlformats.org/officeDocument/2006/relationships/hyperlink" Target="https://en.wikipedia.org/wiki/Itemized_deductions" TargetMode="External"/><Relationship Id="rId196" Type="http://schemas.openxmlformats.org/officeDocument/2006/relationships/hyperlink" Target="https://en.wikipedia.org/wiki/Uranium" TargetMode="External"/><Relationship Id="rId417" Type="http://schemas.openxmlformats.org/officeDocument/2006/relationships/hyperlink" Target="https://en.wikipedia.org/wiki/MediaCorp" TargetMode="External"/><Relationship Id="rId459" Type="http://schemas.openxmlformats.org/officeDocument/2006/relationships/hyperlink" Target="http://www.tradingeconomics.com/russia/government-debt-to-gdp" TargetMode="External"/><Relationship Id="rId624" Type="http://schemas.openxmlformats.org/officeDocument/2006/relationships/hyperlink" Target="https://en.wikipedia.org/wiki/European_emission_standards" TargetMode="External"/><Relationship Id="rId666" Type="http://schemas.openxmlformats.org/officeDocument/2006/relationships/image" Target="media/image33.png"/><Relationship Id="rId16" Type="http://schemas.openxmlformats.org/officeDocument/2006/relationships/hyperlink" Target="http://www.focus-economics.com/country-indicator/united-states/exports-good-services" TargetMode="External"/><Relationship Id="rId221" Type="http://schemas.openxmlformats.org/officeDocument/2006/relationships/hyperlink" Target="https://en.wikipedia.org/wiki/Financial_crisis_of_2007%E2%80%9308" TargetMode="External"/><Relationship Id="rId263" Type="http://schemas.openxmlformats.org/officeDocument/2006/relationships/hyperlink" Target="http://www.bankpedia.org/index.php/en/abbreviation-key/11925-oecd" TargetMode="External"/><Relationship Id="rId319" Type="http://schemas.openxmlformats.org/officeDocument/2006/relationships/hyperlink" Target="https://en.wikipedia.org/wiki/Profit_(accounting)" TargetMode="External"/><Relationship Id="rId470" Type="http://schemas.openxmlformats.org/officeDocument/2006/relationships/hyperlink" Target="http://www.tradingeconomics.com/russia/fiscal-expenditure" TargetMode="External"/><Relationship Id="rId526" Type="http://schemas.openxmlformats.org/officeDocument/2006/relationships/hyperlink" Target="http://www.factosphere.com/pubfinance/budget/sources" TargetMode="External"/><Relationship Id="rId58" Type="http://schemas.openxmlformats.org/officeDocument/2006/relationships/hyperlink" Target="https://en.wikipedia.org/wiki/United_States_Census,_2000" TargetMode="External"/><Relationship Id="rId123" Type="http://schemas.openxmlformats.org/officeDocument/2006/relationships/hyperlink" Target="https://en.wikipedia.org/wiki/Real_terms" TargetMode="External"/><Relationship Id="rId330" Type="http://schemas.openxmlformats.org/officeDocument/2006/relationships/hyperlink" Target="https://en.wikipedia.org/wiki/People%27s_Bank_of_China" TargetMode="External"/><Relationship Id="rId568" Type="http://schemas.openxmlformats.org/officeDocument/2006/relationships/hyperlink" Target="https://en.wikipedia.org/wiki/Wikipedia:Citation_needed" TargetMode="External"/><Relationship Id="rId165" Type="http://schemas.openxmlformats.org/officeDocument/2006/relationships/hyperlink" Target="https://en.wikipedia.org/wiki/Value_added_tax" TargetMode="External"/><Relationship Id="rId372" Type="http://schemas.openxmlformats.org/officeDocument/2006/relationships/hyperlink" Target="https://en.wikipedia.org/wiki/Cost" TargetMode="External"/><Relationship Id="rId428" Type="http://schemas.openxmlformats.org/officeDocument/2006/relationships/hyperlink" Target="https://en.wikipedia.org/wiki/Russian_language" TargetMode="External"/><Relationship Id="rId635" Type="http://schemas.openxmlformats.org/officeDocument/2006/relationships/hyperlink" Target="http://www.vfbs.ru/startup/brief_tax.html" TargetMode="External"/><Relationship Id="rId677" Type="http://schemas.openxmlformats.org/officeDocument/2006/relationships/hyperlink" Target="https://en.wikipedia.org/wiki/Economic_planning" TargetMode="External"/><Relationship Id="rId232" Type="http://schemas.openxmlformats.org/officeDocument/2006/relationships/hyperlink" Target="https://en.wikipedia.org/wiki/USGS" TargetMode="External"/><Relationship Id="rId274" Type="http://schemas.openxmlformats.org/officeDocument/2006/relationships/hyperlink" Target="https://en.wikipedia.org/wiki/2010_Canadian_federal_budget" TargetMode="External"/><Relationship Id="rId481" Type="http://schemas.openxmlformats.org/officeDocument/2006/relationships/hyperlink" Target="http://www.factosphere.com/pubfinance/budget/sources" TargetMode="External"/><Relationship Id="rId702" Type="http://schemas.openxmlformats.org/officeDocument/2006/relationships/hyperlink" Target="http://reports.weforum.org/global-competitiveness-report-2014-2015/technical-notes-and-sources/" TargetMode="External"/><Relationship Id="rId27" Type="http://schemas.openxmlformats.org/officeDocument/2006/relationships/hyperlink" Target="http://www.focus-economics.com/country-indicator/united-states/interest-rate" TargetMode="External"/><Relationship Id="rId69" Type="http://schemas.openxmlformats.org/officeDocument/2006/relationships/hyperlink" Target="https://en.wikipedia.org/wiki/Gift_tax" TargetMode="External"/><Relationship Id="rId134" Type="http://schemas.openxmlformats.org/officeDocument/2006/relationships/hyperlink" Target="https://en.wikipedia.org/wiki/2016_United_Kingdom_budget" TargetMode="External"/><Relationship Id="rId537" Type="http://schemas.openxmlformats.org/officeDocument/2006/relationships/hyperlink" Target="https://en.wikipedia.org/wiki/Russian_Customs_Tariff" TargetMode="External"/><Relationship Id="rId579" Type="http://schemas.openxmlformats.org/officeDocument/2006/relationships/hyperlink" Target="https://en.wikipedia.org/wiki/Gasoline" TargetMode="External"/><Relationship Id="rId80" Type="http://schemas.openxmlformats.org/officeDocument/2006/relationships/hyperlink" Target="https://www.nationalpriorities.org/budget-basics/federal-budget-101/glossary/" TargetMode="External"/><Relationship Id="rId176" Type="http://schemas.openxmlformats.org/officeDocument/2006/relationships/hyperlink" Target="https://en.wikipedia.org/wiki/List_of_countries_by_GDP_(nominal)" TargetMode="External"/><Relationship Id="rId341" Type="http://schemas.openxmlformats.org/officeDocument/2006/relationships/hyperlink" Target="https://en.wikipedia.org/wiki/China_Construction_Bank" TargetMode="External"/><Relationship Id="rId383" Type="http://schemas.openxmlformats.org/officeDocument/2006/relationships/hyperlink" Target="https://en.wikipedia.org/wiki/Defense_(military)" TargetMode="External"/><Relationship Id="rId439" Type="http://schemas.openxmlformats.org/officeDocument/2006/relationships/hyperlink" Target="https://en.wikipedia.org/wiki/Federal_Assembly_of_Russia" TargetMode="External"/><Relationship Id="rId590" Type="http://schemas.openxmlformats.org/officeDocument/2006/relationships/hyperlink" Target="https://en.wikipedia.org/wiki/Severance_pay" TargetMode="External"/><Relationship Id="rId604" Type="http://schemas.openxmlformats.org/officeDocument/2006/relationships/hyperlink" Target="https://en.wikipedia.org/wiki/Moscow_Oblast" TargetMode="External"/><Relationship Id="rId646" Type="http://schemas.openxmlformats.org/officeDocument/2006/relationships/hyperlink" Target="http://www.tradingeconomics.com/russia/social-security-rate" TargetMode="External"/><Relationship Id="rId201" Type="http://schemas.openxmlformats.org/officeDocument/2006/relationships/hyperlink" Target="https://en.wikipedia.org/wiki/Goldcorp" TargetMode="External"/><Relationship Id="rId243" Type="http://schemas.openxmlformats.org/officeDocument/2006/relationships/hyperlink" Target="http://www.bankofcanada.ca/core-functions/financial-system/" TargetMode="External"/><Relationship Id="rId285" Type="http://schemas.openxmlformats.org/officeDocument/2006/relationships/hyperlink" Target="https://en.wikipedia.org/wiki/Montreal" TargetMode="External"/><Relationship Id="rId450" Type="http://schemas.openxmlformats.org/officeDocument/2006/relationships/hyperlink" Target="https://en.wikipedia.org/wiki/Financial_sector" TargetMode="External"/><Relationship Id="rId506" Type="http://schemas.openxmlformats.org/officeDocument/2006/relationships/hyperlink" Target="http://www.factosphere.com/pubfinance/budget/sources" TargetMode="External"/><Relationship Id="rId688" Type="http://schemas.openxmlformats.org/officeDocument/2006/relationships/hyperlink" Target="https://en.wikipedia.org/wiki/Central_Bank_of_Turkmenistan" TargetMode="External"/><Relationship Id="rId38" Type="http://schemas.openxmlformats.org/officeDocument/2006/relationships/hyperlink" Target="https://en.wikipedia.org/wiki/Congressional_Budget_Office" TargetMode="External"/><Relationship Id="rId103" Type="http://schemas.openxmlformats.org/officeDocument/2006/relationships/hyperlink" Target="https://en.wikipedia.org/wiki/Welfare_State" TargetMode="External"/><Relationship Id="rId310" Type="http://schemas.openxmlformats.org/officeDocument/2006/relationships/hyperlink" Target="https://en.wikipedia.org/wiki/World_Trade_Organization" TargetMode="External"/><Relationship Id="rId492" Type="http://schemas.openxmlformats.org/officeDocument/2006/relationships/hyperlink" Target="http://www.factosphere.com/pubfinance/budget/sources" TargetMode="External"/><Relationship Id="rId548" Type="http://schemas.openxmlformats.org/officeDocument/2006/relationships/hyperlink" Target="https://en.wikipedia.org/wiki/Taxation_in_Russia" TargetMode="External"/><Relationship Id="rId91" Type="http://schemas.openxmlformats.org/officeDocument/2006/relationships/image" Target="media/image3.png"/><Relationship Id="rId145" Type="http://schemas.openxmlformats.org/officeDocument/2006/relationships/hyperlink" Target="http://www.tradingeconomics.com/united-kingdom/government-spending-to-gdp" TargetMode="External"/><Relationship Id="rId187" Type="http://schemas.openxmlformats.org/officeDocument/2006/relationships/hyperlink" Target="https://en.wikipedia.org/wiki/Automaker" TargetMode="External"/><Relationship Id="rId352" Type="http://schemas.openxmlformats.org/officeDocument/2006/relationships/hyperlink" Target="https://en.wikipedia.org/wiki/Special_Economic_Zone" TargetMode="External"/><Relationship Id="rId394" Type="http://schemas.openxmlformats.org/officeDocument/2006/relationships/hyperlink" Target="https://en.wikipedia.org/wiki/Transport" TargetMode="External"/><Relationship Id="rId408" Type="http://schemas.openxmlformats.org/officeDocument/2006/relationships/hyperlink" Target="https://en.wikipedia.org/wiki/Credit_Suisse" TargetMode="External"/><Relationship Id="rId615" Type="http://schemas.openxmlformats.org/officeDocument/2006/relationships/hyperlink" Target="https://en.wikipedia.org/wiki/Federal_cities_of_Russia" TargetMode="External"/><Relationship Id="rId212" Type="http://schemas.openxmlformats.org/officeDocument/2006/relationships/hyperlink" Target="https://en.wikipedia.org/wiki/Real_estate" TargetMode="External"/><Relationship Id="rId254" Type="http://schemas.openxmlformats.org/officeDocument/2006/relationships/hyperlink" Target="http://www.bankofcanada.ca/core-functions/financial-system/oversight-designated-clearing-settlement-systems/" TargetMode="External"/><Relationship Id="rId657" Type="http://schemas.openxmlformats.org/officeDocument/2006/relationships/hyperlink" Target="https://en.wikipedia.org/wiki/Currency" TargetMode="External"/><Relationship Id="rId699" Type="http://schemas.openxmlformats.org/officeDocument/2006/relationships/hyperlink" Target="http://accountlearning.com/difference-between-hire-purchase-and-installment-sale/" TargetMode="External"/><Relationship Id="rId49" Type="http://schemas.openxmlformats.org/officeDocument/2006/relationships/hyperlink" Target="https://en.wikipedia.org/wiki/Moody%27s_Analytics" TargetMode="External"/><Relationship Id="rId114" Type="http://schemas.openxmlformats.org/officeDocument/2006/relationships/hyperlink" Target="https://en.wikipedia.org/wiki/Early_1980s_recession" TargetMode="External"/><Relationship Id="rId296" Type="http://schemas.openxmlformats.org/officeDocument/2006/relationships/hyperlink" Target="http://settlement.org/ontario/daily-life/personal-finance/taxes/do-i-have-to-file-a-tax-return/" TargetMode="External"/><Relationship Id="rId461" Type="http://schemas.openxmlformats.org/officeDocument/2006/relationships/hyperlink" Target="http://www.tradingeconomics.com/russia/government-budget" TargetMode="External"/><Relationship Id="rId517" Type="http://schemas.openxmlformats.org/officeDocument/2006/relationships/hyperlink" Target="http://www.factosphere.com/pubfinance/budget/sources" TargetMode="External"/><Relationship Id="rId559" Type="http://schemas.openxmlformats.org/officeDocument/2006/relationships/hyperlink" Target="https://en.wikipedia.org/wiki/Taxation_in_Russia" TargetMode="External"/><Relationship Id="rId60" Type="http://schemas.openxmlformats.org/officeDocument/2006/relationships/hyperlink" Target="https://en.wikipedia.org/wiki/War_in_Afghanistan_(2001%E2%80%93present)" TargetMode="External"/><Relationship Id="rId156" Type="http://schemas.openxmlformats.org/officeDocument/2006/relationships/hyperlink" Target="https://en.wikipedia.org/wiki/House_of_Commons_of_the_United_Kingdom" TargetMode="External"/><Relationship Id="rId198" Type="http://schemas.openxmlformats.org/officeDocument/2006/relationships/hyperlink" Target="https://en.wikipedia.org/wiki/Lead" TargetMode="External"/><Relationship Id="rId321" Type="http://schemas.openxmlformats.org/officeDocument/2006/relationships/hyperlink" Target="https://en.wikipedia.org/wiki/Economic_policy" TargetMode="External"/><Relationship Id="rId363" Type="http://schemas.openxmlformats.org/officeDocument/2006/relationships/hyperlink" Target="https://en.wikipedia.org/wiki/African_Development_Bank" TargetMode="External"/><Relationship Id="rId419" Type="http://schemas.openxmlformats.org/officeDocument/2006/relationships/hyperlink" Target="https://en.wikipedia.org/wiki/Eduardo_Saverin" TargetMode="External"/><Relationship Id="rId570" Type="http://schemas.openxmlformats.org/officeDocument/2006/relationships/hyperlink" Target="https://en.wikipedia.org/wiki/Taxation_in_Russia" TargetMode="External"/><Relationship Id="rId626" Type="http://schemas.openxmlformats.org/officeDocument/2006/relationships/hyperlink" Target="https://en.wikipedia.org/wiki/Slot_machine" TargetMode="External"/><Relationship Id="rId223" Type="http://schemas.openxmlformats.org/officeDocument/2006/relationships/hyperlink" Target="https://en.wikipedia.org/wiki/Magna_International" TargetMode="External"/><Relationship Id="rId430" Type="http://schemas.openxmlformats.org/officeDocument/2006/relationships/hyperlink" Target="https://en.wikipedia.org/wiki/Federal_Assembly_of_Russia" TargetMode="External"/><Relationship Id="rId668" Type="http://schemas.openxmlformats.org/officeDocument/2006/relationships/hyperlink" Target="https://en.wikipedia.org/wiki/List_of_countries_by_real_GDP_growth_rate" TargetMode="External"/><Relationship Id="rId18" Type="http://schemas.openxmlformats.org/officeDocument/2006/relationships/hyperlink" Target="http://www.focus-economics.com/country-indicator/united-states/industry" TargetMode="External"/><Relationship Id="rId265" Type="http://schemas.openxmlformats.org/officeDocument/2006/relationships/image" Target="media/image10.png"/><Relationship Id="rId472" Type="http://schemas.openxmlformats.org/officeDocument/2006/relationships/hyperlink" Target="http://www.tradingeconomics.com/russia/military-expenditure" TargetMode="External"/><Relationship Id="rId528" Type="http://schemas.openxmlformats.org/officeDocument/2006/relationships/hyperlink" Target="http://www.factosphere.com/pubfinance/budget/sources" TargetMode="External"/><Relationship Id="rId125" Type="http://schemas.openxmlformats.org/officeDocument/2006/relationships/hyperlink" Target="https://en.wikipedia.org/wiki/Budget" TargetMode="External"/><Relationship Id="rId167" Type="http://schemas.openxmlformats.org/officeDocument/2006/relationships/hyperlink" Target="https://en.wikipedia.org/wiki/Hydrocarbon_oil_duty" TargetMode="External"/><Relationship Id="rId332" Type="http://schemas.openxmlformats.org/officeDocument/2006/relationships/hyperlink" Target="https://en.wikipedia.org/wiki/Credit_(finance)" TargetMode="External"/><Relationship Id="rId374" Type="http://schemas.openxmlformats.org/officeDocument/2006/relationships/hyperlink" Target="https://en.wikipedia.org/wiki/Tariff" TargetMode="External"/><Relationship Id="rId581" Type="http://schemas.openxmlformats.org/officeDocument/2006/relationships/hyperlink" Target="https://en.wikipedia.org/wiki/Motorcycles" TargetMode="External"/><Relationship Id="rId71" Type="http://schemas.openxmlformats.org/officeDocument/2006/relationships/hyperlink" Target="https://www.nationalpriorities.org/budget-basics/federal-budget-101/glossary/" TargetMode="External"/><Relationship Id="rId234" Type="http://schemas.openxmlformats.org/officeDocument/2006/relationships/hyperlink" Target="https://en.wikipedia.org/wiki/Aluminium" TargetMode="External"/><Relationship Id="rId637" Type="http://schemas.openxmlformats.org/officeDocument/2006/relationships/hyperlink" Target="http://www.vfbs.ru/startup/brief_tax.html" TargetMode="External"/><Relationship Id="rId679" Type="http://schemas.openxmlformats.org/officeDocument/2006/relationships/hyperlink" Target="https://en.wikipedia.org/wiki/Exchange_rate" TargetMode="External"/><Relationship Id="rId2" Type="http://schemas.openxmlformats.org/officeDocument/2006/relationships/styles" Target="styles.xml"/><Relationship Id="rId29" Type="http://schemas.openxmlformats.org/officeDocument/2006/relationships/hyperlink" Target="http://www.focus-economics.com/country-indicator/united-states/current-account" TargetMode="External"/><Relationship Id="rId276" Type="http://schemas.openxmlformats.org/officeDocument/2006/relationships/hyperlink" Target="https://en.wikipedia.org/wiki/Quebec" TargetMode="External"/><Relationship Id="rId441" Type="http://schemas.openxmlformats.org/officeDocument/2006/relationships/hyperlink" Target="https://en.wikipedia.org/w/index.php?title=Conciliation_commission&amp;action=edit&amp;redlink=1" TargetMode="External"/><Relationship Id="rId483" Type="http://schemas.openxmlformats.org/officeDocument/2006/relationships/hyperlink" Target="http://www.factosphere.com/pubfinance/budget/sources" TargetMode="External"/><Relationship Id="rId539" Type="http://schemas.openxmlformats.org/officeDocument/2006/relationships/hyperlink" Target="https://en.wikipedia.org/wiki/Flat_tax" TargetMode="External"/><Relationship Id="rId690" Type="http://schemas.openxmlformats.org/officeDocument/2006/relationships/hyperlink" Target="http://www.turkmenistan.it/banchecommercialigb.html" TargetMode="External"/><Relationship Id="rId704" Type="http://schemas.openxmlformats.org/officeDocument/2006/relationships/fontTable" Target="fontTable.xml"/><Relationship Id="rId40" Type="http://schemas.openxmlformats.org/officeDocument/2006/relationships/hyperlink" Target="https://en.wikipedia.org/wiki/U.S._Treasury_Department" TargetMode="External"/><Relationship Id="rId136" Type="http://schemas.openxmlformats.org/officeDocument/2006/relationships/hyperlink" Target="http://www.tradingeconomics.com/united-kingdom/government-debt-to-gdp" TargetMode="External"/><Relationship Id="rId178" Type="http://schemas.openxmlformats.org/officeDocument/2006/relationships/hyperlink" Target="https://en.wikipedia.org/wiki/Organisation_for_Economic_Co-operation_and_Development" TargetMode="External"/><Relationship Id="rId301" Type="http://schemas.openxmlformats.org/officeDocument/2006/relationships/hyperlink" Target="http://findlink.at/cra-arc" TargetMode="External"/><Relationship Id="rId343" Type="http://schemas.openxmlformats.org/officeDocument/2006/relationships/hyperlink" Target="https://en.wikipedia.org/wiki/China_Development_Bank" TargetMode="External"/><Relationship Id="rId550" Type="http://schemas.openxmlformats.org/officeDocument/2006/relationships/hyperlink" Target="https://en.wikipedia.org/wiki/Pharmaceutical_industry" TargetMode="External"/><Relationship Id="rId82" Type="http://schemas.openxmlformats.org/officeDocument/2006/relationships/hyperlink" Target="https://www.nationalpriorities.org/budget-basics/federal-budget-101/glossary/" TargetMode="External"/><Relationship Id="rId203" Type="http://schemas.openxmlformats.org/officeDocument/2006/relationships/hyperlink" Target="https://en.wikipedia.org/wiki/Pulp_and_paper" TargetMode="External"/><Relationship Id="rId385" Type="http://schemas.openxmlformats.org/officeDocument/2006/relationships/hyperlink" Target="https://en.wikipedia.org/wiki/Forestry" TargetMode="External"/><Relationship Id="rId592" Type="http://schemas.openxmlformats.org/officeDocument/2006/relationships/hyperlink" Target="https://en.wikipedia.org/wiki/INSOR" TargetMode="External"/><Relationship Id="rId606" Type="http://schemas.openxmlformats.org/officeDocument/2006/relationships/hyperlink" Target="https://en.wikipedia.org/wiki/Leningrad_Oblast" TargetMode="External"/><Relationship Id="rId648" Type="http://schemas.openxmlformats.org/officeDocument/2006/relationships/hyperlink" Target="http://www.tradingeconomics.com/russia/social-security-rate-for-companies" TargetMode="External"/><Relationship Id="rId19" Type="http://schemas.openxmlformats.org/officeDocument/2006/relationships/hyperlink" Target="http://www.focus-economics.com/country-indicator/united-states/retail-sales" TargetMode="External"/><Relationship Id="rId224" Type="http://schemas.openxmlformats.org/officeDocument/2006/relationships/hyperlink" Target="https://en.wikipedia.org/wiki/Linamar" TargetMode="External"/><Relationship Id="rId245" Type="http://schemas.openxmlformats.org/officeDocument/2006/relationships/hyperlink" Target="http://www.bankofcanada.ca/core-functions/financial-system/oversight-designated-clearing-settlement-systems/" TargetMode="External"/><Relationship Id="rId266" Type="http://schemas.openxmlformats.org/officeDocument/2006/relationships/hyperlink" Target="http://www.lop.parl.gc.ca/content/lop/researchpublications/bp276-e.htm" TargetMode="External"/><Relationship Id="rId287" Type="http://schemas.openxmlformats.org/officeDocument/2006/relationships/hyperlink" Target="https://en.wikipedia.org/wiki/Prince_Edward_Island" TargetMode="External"/><Relationship Id="rId410" Type="http://schemas.openxmlformats.org/officeDocument/2006/relationships/hyperlink" Target="https://en.wikipedia.org/wiki/Tax_evasion" TargetMode="External"/><Relationship Id="rId431" Type="http://schemas.openxmlformats.org/officeDocument/2006/relationships/hyperlink" Target="https://en.wikipedia.org/wiki/Sign_into_law" TargetMode="External"/><Relationship Id="rId452" Type="http://schemas.openxmlformats.org/officeDocument/2006/relationships/hyperlink" Target="https://en.wikipedia.org/wiki/Small_and_medium_enterprises" TargetMode="External"/><Relationship Id="rId473" Type="http://schemas.openxmlformats.org/officeDocument/2006/relationships/hyperlink" Target="http://www.tradingeconomics.com/russia/military-expenditure" TargetMode="External"/><Relationship Id="rId494" Type="http://schemas.openxmlformats.org/officeDocument/2006/relationships/hyperlink" Target="http://www.factosphere.com/pubfinance/budget/sources" TargetMode="External"/><Relationship Id="rId508" Type="http://schemas.openxmlformats.org/officeDocument/2006/relationships/hyperlink" Target="http://www.factosphere.com/pubfinance/budget/www.pfrf.ru" TargetMode="External"/><Relationship Id="rId529" Type="http://schemas.openxmlformats.org/officeDocument/2006/relationships/hyperlink" Target="http://www.factosphere.com/pubfinance/budget/sources" TargetMode="External"/><Relationship Id="rId680" Type="http://schemas.openxmlformats.org/officeDocument/2006/relationships/hyperlink" Target="https://en.wikipedia.org/wiki/Avaza" TargetMode="External"/><Relationship Id="rId30" Type="http://schemas.openxmlformats.org/officeDocument/2006/relationships/hyperlink" Target="http://www.focus-economics.com/country-indicator/united-states/current-account-usd-bn" TargetMode="External"/><Relationship Id="rId105" Type="http://schemas.openxmlformats.org/officeDocument/2006/relationships/hyperlink" Target="https://en.wikipedia.org/wiki/Payroll_tax" TargetMode="External"/><Relationship Id="rId126" Type="http://schemas.openxmlformats.org/officeDocument/2006/relationships/hyperlink" Target="https://en.wikipedia.org/wiki/HM_Treasury" TargetMode="External"/><Relationship Id="rId147" Type="http://schemas.openxmlformats.org/officeDocument/2006/relationships/hyperlink" Target="http://www.tradingeconomics.com/united-kingdom/government-debt" TargetMode="External"/><Relationship Id="rId168" Type="http://schemas.openxmlformats.org/officeDocument/2006/relationships/hyperlink" Target="https://en.wikipedia.org/wiki/Business_rates_in_England_and_Wales" TargetMode="External"/><Relationship Id="rId312" Type="http://schemas.openxmlformats.org/officeDocument/2006/relationships/hyperlink" Target="https://en.wikipedia.org/wiki/United_States" TargetMode="External"/><Relationship Id="rId333" Type="http://schemas.openxmlformats.org/officeDocument/2006/relationships/hyperlink" Target="https://en.wikipedia.org/wiki/Saving" TargetMode="External"/><Relationship Id="rId354" Type="http://schemas.openxmlformats.org/officeDocument/2006/relationships/hyperlink" Target="https://en.wikipedia.org/wiki/Equity_(economics)" TargetMode="External"/><Relationship Id="rId540" Type="http://schemas.openxmlformats.org/officeDocument/2006/relationships/hyperlink" Target="https://en.wikipedia.org/wiki/Regressive_tax" TargetMode="External"/><Relationship Id="rId51" Type="http://schemas.openxmlformats.org/officeDocument/2006/relationships/hyperlink" Target="https://en.wikipedia.org/wiki/Article_One_of_the_United_States_Constitution" TargetMode="External"/><Relationship Id="rId72" Type="http://schemas.openxmlformats.org/officeDocument/2006/relationships/hyperlink" Target="https://www.nationalpriorities.org/budget-basics/federal-budget-101/glossary/" TargetMode="External"/><Relationship Id="rId93" Type="http://schemas.openxmlformats.org/officeDocument/2006/relationships/hyperlink" Target="http://www.encyclopedia.com/places/asia/arabian-peninsula-political-geography/saudi-arabia" TargetMode="External"/><Relationship Id="rId189" Type="http://schemas.openxmlformats.org/officeDocument/2006/relationships/hyperlink" Target="https://en.wikipedia.org/wiki/Software_industry" TargetMode="External"/><Relationship Id="rId375" Type="http://schemas.openxmlformats.org/officeDocument/2006/relationships/hyperlink" Target="https://en.wikipedia.org/wiki/Central_government" TargetMode="External"/><Relationship Id="rId396" Type="http://schemas.openxmlformats.org/officeDocument/2006/relationships/hyperlink" Target="https://en.wikipedia.org/wiki/Geology" TargetMode="External"/><Relationship Id="rId561" Type="http://schemas.openxmlformats.org/officeDocument/2006/relationships/hyperlink" Target="https://en.wikipedia.org/wiki/Sakha_Republic" TargetMode="External"/><Relationship Id="rId582" Type="http://schemas.openxmlformats.org/officeDocument/2006/relationships/hyperlink" Target="https://en.wikipedia.org/wiki/Horsepower" TargetMode="External"/><Relationship Id="rId617" Type="http://schemas.openxmlformats.org/officeDocument/2006/relationships/hyperlink" Target="https://en.wikipedia.org/wiki/Saint_Petersburg" TargetMode="External"/><Relationship Id="rId638" Type="http://schemas.openxmlformats.org/officeDocument/2006/relationships/hyperlink" Target="http://www.vfbs.ru/startup/brief_tax.html" TargetMode="External"/><Relationship Id="rId659" Type="http://schemas.openxmlformats.org/officeDocument/2006/relationships/image" Target="media/image26.png"/><Relationship Id="rId3" Type="http://schemas.openxmlformats.org/officeDocument/2006/relationships/settings" Target="settings.xml"/><Relationship Id="rId214" Type="http://schemas.openxmlformats.org/officeDocument/2006/relationships/hyperlink" Target="https://en.wikipedia.org/wiki/Montreal" TargetMode="External"/><Relationship Id="rId235" Type="http://schemas.openxmlformats.org/officeDocument/2006/relationships/hyperlink" Target="https://en.wikipedia.org/wiki/Western_Canada" TargetMode="External"/><Relationship Id="rId256" Type="http://schemas.openxmlformats.org/officeDocument/2006/relationships/hyperlink" Target="http://www.bankofcanada.ca/wp-content/uploads/2016/02/criteria-risk-management-standards.pdf" TargetMode="External"/><Relationship Id="rId277" Type="http://schemas.openxmlformats.org/officeDocument/2006/relationships/hyperlink" Target="https://en.wikipedia.org/wiki/British_Columbia" TargetMode="External"/><Relationship Id="rId298" Type="http://schemas.openxmlformats.org/officeDocument/2006/relationships/hyperlink" Target="http://findlink.at/hst" TargetMode="External"/><Relationship Id="rId400" Type="http://schemas.openxmlformats.org/officeDocument/2006/relationships/image" Target="media/image13.png"/><Relationship Id="rId421" Type="http://schemas.openxmlformats.org/officeDocument/2006/relationships/hyperlink" Target="https://en.wikipedia.org/wiki/Jim_Rogers" TargetMode="External"/><Relationship Id="rId442" Type="http://schemas.openxmlformats.org/officeDocument/2006/relationships/hyperlink" Target="https://en.wikipedia.org/wiki/Federation_Council_of_Russia" TargetMode="External"/><Relationship Id="rId463" Type="http://schemas.openxmlformats.org/officeDocument/2006/relationships/hyperlink" Target="http://www.tradingeconomics.com/russia/government-budget-value" TargetMode="External"/><Relationship Id="rId484" Type="http://schemas.openxmlformats.org/officeDocument/2006/relationships/hyperlink" Target="http://www.factosphere.com/pubfinance/budget/sources" TargetMode="External"/><Relationship Id="rId519" Type="http://schemas.openxmlformats.org/officeDocument/2006/relationships/hyperlink" Target="http://www.factosphere.com/pubfinance/budget/sources" TargetMode="External"/><Relationship Id="rId670" Type="http://schemas.openxmlformats.org/officeDocument/2006/relationships/hyperlink" Target="https://en.wikipedia.org/wiki/Agriculture" TargetMode="External"/><Relationship Id="rId705" Type="http://schemas.openxmlformats.org/officeDocument/2006/relationships/theme" Target="theme/theme1.xml"/><Relationship Id="rId116" Type="http://schemas.openxmlformats.org/officeDocument/2006/relationships/hyperlink" Target="https://en.wikipedia.org/wiki/Early_1990s_recession" TargetMode="External"/><Relationship Id="rId137" Type="http://schemas.openxmlformats.org/officeDocument/2006/relationships/hyperlink" Target="http://www.tradingeconomics.com/united-kingdom/government-debt-to-gdp" TargetMode="External"/><Relationship Id="rId158" Type="http://schemas.openxmlformats.org/officeDocument/2006/relationships/image" Target="media/image6.png"/><Relationship Id="rId302" Type="http://schemas.openxmlformats.org/officeDocument/2006/relationships/hyperlink" Target="https://en.wikipedia.org/wiki/Purchasing_power_parity" TargetMode="External"/><Relationship Id="rId323" Type="http://schemas.openxmlformats.org/officeDocument/2006/relationships/hyperlink" Target="https://en.wikipedia.org/wiki/Business" TargetMode="External"/><Relationship Id="rId344" Type="http://schemas.openxmlformats.org/officeDocument/2006/relationships/hyperlink" Target="https://en.wikipedia.org/wiki/China_Import_and_Export_Bank" TargetMode="External"/><Relationship Id="rId530" Type="http://schemas.openxmlformats.org/officeDocument/2006/relationships/hyperlink" Target="http://www.factosphere.com/pubfinance/budget/sources" TargetMode="External"/><Relationship Id="rId691" Type="http://schemas.openxmlformats.org/officeDocument/2006/relationships/hyperlink" Target="http://www.turkmenistan.it/banchecommercialigb.html" TargetMode="External"/><Relationship Id="rId20" Type="http://schemas.openxmlformats.org/officeDocument/2006/relationships/hyperlink" Target="http://www.focus-economics.com/country-indicator/united-states/unemployment" TargetMode="External"/><Relationship Id="rId41" Type="http://schemas.openxmlformats.org/officeDocument/2006/relationships/hyperlink" Target="https://en.wikipedia.org/wiki/Medicare_(United_States)" TargetMode="External"/><Relationship Id="rId62" Type="http://schemas.openxmlformats.org/officeDocument/2006/relationships/hyperlink" Target="https://en.wikipedia.org/wiki/Corporate_tax_in_the_United_States" TargetMode="External"/><Relationship Id="rId83" Type="http://schemas.openxmlformats.org/officeDocument/2006/relationships/hyperlink" Target="https://www.nationalpriorities.org/budget-basics/federal-budget-101/glossary/" TargetMode="External"/><Relationship Id="rId179" Type="http://schemas.openxmlformats.org/officeDocument/2006/relationships/hyperlink" Target="https://en.wikipedia.org/wiki/G7" TargetMode="External"/><Relationship Id="rId365" Type="http://schemas.openxmlformats.org/officeDocument/2006/relationships/hyperlink" Target="https://en.wikipedia.org/wiki/Government_debt" TargetMode="External"/><Relationship Id="rId386" Type="http://schemas.openxmlformats.org/officeDocument/2006/relationships/hyperlink" Target="https://en.wikipedia.org/wiki/Water_conservation" TargetMode="External"/><Relationship Id="rId551" Type="http://schemas.openxmlformats.org/officeDocument/2006/relationships/hyperlink" Target="https://en.wikipedia.org/wiki/Banking" TargetMode="External"/><Relationship Id="rId572" Type="http://schemas.openxmlformats.org/officeDocument/2006/relationships/hyperlink" Target="https://en.wikipedia.org/wiki/Double_taxation" TargetMode="External"/><Relationship Id="rId593" Type="http://schemas.openxmlformats.org/officeDocument/2006/relationships/hyperlink" Target="https://en.wikipedia.org/wiki/Dmitry_Medvedev" TargetMode="External"/><Relationship Id="rId607" Type="http://schemas.openxmlformats.org/officeDocument/2006/relationships/hyperlink" Target="https://en.wikipedia.org/wiki/Stamp_duty" TargetMode="External"/><Relationship Id="rId628" Type="http://schemas.openxmlformats.org/officeDocument/2006/relationships/hyperlink" Target="https://en.wikipedia.org/wiki/Online_gambling" TargetMode="External"/><Relationship Id="rId649" Type="http://schemas.openxmlformats.org/officeDocument/2006/relationships/hyperlink" Target="http://www.tradingeconomics.com/russia/social-security-rate-for-companies" TargetMode="External"/><Relationship Id="rId190" Type="http://schemas.openxmlformats.org/officeDocument/2006/relationships/hyperlink" Target="https://en.wikipedia.org/wiki/Financial_crisis_of_2007%E2%80%9308" TargetMode="External"/><Relationship Id="rId204" Type="http://schemas.openxmlformats.org/officeDocument/2006/relationships/hyperlink" Target="https://en.wikipedia.org/wiki/Forestry_in_Canada" TargetMode="External"/><Relationship Id="rId225" Type="http://schemas.openxmlformats.org/officeDocument/2006/relationships/hyperlink" Target="https://en.wikipedia.org/wiki/Michigan" TargetMode="External"/><Relationship Id="rId246" Type="http://schemas.openxmlformats.org/officeDocument/2006/relationships/hyperlink" Target="http://www.bankofcanada.ca/core-functions/financial-system/canadas-major-payments-systems/" TargetMode="External"/><Relationship Id="rId267" Type="http://schemas.openxmlformats.org/officeDocument/2006/relationships/hyperlink" Target="http://www.lop.parl.gc.ca/content/lop/researchpublications/bp276-e.htm" TargetMode="External"/><Relationship Id="rId288" Type="http://schemas.openxmlformats.org/officeDocument/2006/relationships/hyperlink" Target="https://en.wikipedia.org/wiki/Nunavut" TargetMode="External"/><Relationship Id="rId411" Type="http://schemas.openxmlformats.org/officeDocument/2006/relationships/hyperlink" Target="https://en.wikipedia.org/wiki/Organisation_for_Economic_Co-operation_and_Development" TargetMode="External"/><Relationship Id="rId432" Type="http://schemas.openxmlformats.org/officeDocument/2006/relationships/hyperlink" Target="https://en.wikipedia.org/wiki/President_of_Russia" TargetMode="External"/><Relationship Id="rId453" Type="http://schemas.openxmlformats.org/officeDocument/2006/relationships/hyperlink" Target="https://en.wikipedia.org/wiki/Unemployment_benefits" TargetMode="External"/><Relationship Id="rId474" Type="http://schemas.openxmlformats.org/officeDocument/2006/relationships/hyperlink" Target="http://www.tradingeconomics.com/russia/rating" TargetMode="External"/><Relationship Id="rId509" Type="http://schemas.openxmlformats.org/officeDocument/2006/relationships/hyperlink" Target="http://www.factosphere.com/pubfinance/budget/sources" TargetMode="External"/><Relationship Id="rId660" Type="http://schemas.openxmlformats.org/officeDocument/2006/relationships/image" Target="media/image27.png"/><Relationship Id="rId106" Type="http://schemas.openxmlformats.org/officeDocument/2006/relationships/hyperlink" Target="https://en.wikipedia.org/wiki/Property_tax" TargetMode="External"/><Relationship Id="rId127" Type="http://schemas.openxmlformats.org/officeDocument/2006/relationships/hyperlink" Target="https://en.wikipedia.org/wiki/Revenue" TargetMode="External"/><Relationship Id="rId313" Type="http://schemas.openxmlformats.org/officeDocument/2006/relationships/hyperlink" Target="https://en.wikipedia.org/wiki/Economic_development" TargetMode="External"/><Relationship Id="rId495" Type="http://schemas.openxmlformats.org/officeDocument/2006/relationships/hyperlink" Target="http://www.factosphere.com/pubfinance/budget/sources" TargetMode="External"/><Relationship Id="rId681" Type="http://schemas.openxmlformats.org/officeDocument/2006/relationships/hyperlink" Target="https://en.wikipedia.org/wiki/United_States_Dollar" TargetMode="External"/><Relationship Id="rId10" Type="http://schemas.openxmlformats.org/officeDocument/2006/relationships/hyperlink" Target="http://www.focus-economics.com/country-indicator/united-states/gdp-per-capita-USD" TargetMode="External"/><Relationship Id="rId31" Type="http://schemas.openxmlformats.org/officeDocument/2006/relationships/hyperlink" Target="http://www.focus-economics.com/country-indicator/united-states/trade-balance" TargetMode="External"/><Relationship Id="rId52" Type="http://schemas.openxmlformats.org/officeDocument/2006/relationships/hyperlink" Target="https://en.wikipedia.org/wiki/Budget_and_Accounting_Act_of_1921" TargetMode="External"/><Relationship Id="rId73" Type="http://schemas.openxmlformats.org/officeDocument/2006/relationships/hyperlink" Target="https://www.nationalpriorities.org/budget-basics/federal-budget-101/glossary/" TargetMode="External"/><Relationship Id="rId94" Type="http://schemas.openxmlformats.org/officeDocument/2006/relationships/hyperlink" Target="http://www.encyclopedia.com/places/germany-scandinavia-and-central-europe/central-european-physical-geography/rhine" TargetMode="External"/><Relationship Id="rId148" Type="http://schemas.openxmlformats.org/officeDocument/2006/relationships/hyperlink" Target="http://www.tradingeconomics.com/united-kingdom/rating" TargetMode="External"/><Relationship Id="rId169" Type="http://schemas.openxmlformats.org/officeDocument/2006/relationships/hyperlink" Target="https://en.wikipedia.org/wiki/Council_Tax" TargetMode="External"/><Relationship Id="rId334" Type="http://schemas.openxmlformats.org/officeDocument/2006/relationships/hyperlink" Target="https://en.wikipedia.org/wiki/Market_economy" TargetMode="External"/><Relationship Id="rId355" Type="http://schemas.openxmlformats.org/officeDocument/2006/relationships/hyperlink" Target="https://en.wikipedia.org/wiki/Joint_venture" TargetMode="External"/><Relationship Id="rId376" Type="http://schemas.openxmlformats.org/officeDocument/2006/relationships/hyperlink" Target="https://en.wikipedia.org/wiki/Local_government" TargetMode="External"/><Relationship Id="rId397" Type="http://schemas.openxmlformats.org/officeDocument/2006/relationships/hyperlink" Target="https://en.wikipedia.org/wiki/Prospecting" TargetMode="External"/><Relationship Id="rId520" Type="http://schemas.openxmlformats.org/officeDocument/2006/relationships/hyperlink" Target="http://www.factosphere.com/pubfinance/budget/sources" TargetMode="External"/><Relationship Id="rId541" Type="http://schemas.openxmlformats.org/officeDocument/2006/relationships/hyperlink" Target="https://en.wikipedia.org/wiki/Federal_state" TargetMode="External"/><Relationship Id="rId562" Type="http://schemas.openxmlformats.org/officeDocument/2006/relationships/hyperlink" Target="https://en.wikipedia.org/wiki/Irkutsk_Oblast" TargetMode="External"/><Relationship Id="rId583" Type="http://schemas.openxmlformats.org/officeDocument/2006/relationships/hyperlink" Target="https://en.wikipedia.org/wiki/Tobacco" TargetMode="External"/><Relationship Id="rId618" Type="http://schemas.openxmlformats.org/officeDocument/2006/relationships/hyperlink" Target="https://en.wikipedia.org/wiki/Zoning" TargetMode="External"/><Relationship Id="rId639" Type="http://schemas.openxmlformats.org/officeDocument/2006/relationships/image" Target="media/image25.png"/><Relationship Id="rId4" Type="http://schemas.openxmlformats.org/officeDocument/2006/relationships/webSettings" Target="webSettings.xml"/><Relationship Id="rId180" Type="http://schemas.openxmlformats.org/officeDocument/2006/relationships/hyperlink" Target="https://en.wikipedia.org/wiki/Tertiary_sector_of_industry" TargetMode="External"/><Relationship Id="rId215" Type="http://schemas.openxmlformats.org/officeDocument/2006/relationships/hyperlink" Target="https://en.wikipedia.org/wiki/Vancouver" TargetMode="External"/><Relationship Id="rId236" Type="http://schemas.openxmlformats.org/officeDocument/2006/relationships/hyperlink" Target="https://en.wikipedia.org/wiki/Canada" TargetMode="External"/><Relationship Id="rId257" Type="http://schemas.openxmlformats.org/officeDocument/2006/relationships/hyperlink" Target="http://www.bankofcanada.ca/2016/05/bank-canada-designates-automated-clearing-settlement-system/" TargetMode="External"/><Relationship Id="rId278" Type="http://schemas.openxmlformats.org/officeDocument/2006/relationships/hyperlink" Target="https://en.wikipedia.org/wiki/Alberta" TargetMode="External"/><Relationship Id="rId401" Type="http://schemas.openxmlformats.org/officeDocument/2006/relationships/image" Target="media/image14.png"/><Relationship Id="rId422" Type="http://schemas.openxmlformats.org/officeDocument/2006/relationships/hyperlink" Target="https://en.wikipedia.org/wiki/Monetary_Authority_of_Singapore" TargetMode="External"/><Relationship Id="rId443" Type="http://schemas.openxmlformats.org/officeDocument/2006/relationships/hyperlink" Target="https://en.wikipedia.org/wiki/Upper_house" TargetMode="External"/><Relationship Id="rId464" Type="http://schemas.openxmlformats.org/officeDocument/2006/relationships/hyperlink" Target="http://www.tradingeconomics.com/russia/government-spending" TargetMode="External"/><Relationship Id="rId650" Type="http://schemas.openxmlformats.org/officeDocument/2006/relationships/hyperlink" Target="http://www.tradingeconomics.com/russia/social-security-rate-for-employees" TargetMode="External"/><Relationship Id="rId303" Type="http://schemas.openxmlformats.org/officeDocument/2006/relationships/hyperlink" Target="https://en.wikipedia.org/wiki/Gross_domestic_product" TargetMode="External"/><Relationship Id="rId485" Type="http://schemas.openxmlformats.org/officeDocument/2006/relationships/hyperlink" Target="http://www.factosphere.com/pubfinance/budget/sources" TargetMode="External"/><Relationship Id="rId692" Type="http://schemas.openxmlformats.org/officeDocument/2006/relationships/hyperlink" Target="http://www.turkmenistan.it/bancheesteregb.html" TargetMode="External"/><Relationship Id="rId42" Type="http://schemas.openxmlformats.org/officeDocument/2006/relationships/hyperlink" Target="https://en.wikipedia.org/wiki/Medicaid" TargetMode="External"/><Relationship Id="rId84" Type="http://schemas.openxmlformats.org/officeDocument/2006/relationships/hyperlink" Target="https://www.nationalpriorities.org/budget-basics/federal-budget-101/glossary/" TargetMode="External"/><Relationship Id="rId138" Type="http://schemas.openxmlformats.org/officeDocument/2006/relationships/hyperlink" Target="http://www.tradingeconomics.com/united-kingdom/government-budget" TargetMode="External"/><Relationship Id="rId345" Type="http://schemas.openxmlformats.org/officeDocument/2006/relationships/hyperlink" Target="https://en.wikipedia.org/w/index.php?title=Commercial_Bank_Law&amp;action=edit&amp;redlink=1" TargetMode="External"/><Relationship Id="rId387" Type="http://schemas.openxmlformats.org/officeDocument/2006/relationships/hyperlink" Target="https://en.wikipedia.org/wiki/Subsidy" TargetMode="External"/><Relationship Id="rId510" Type="http://schemas.openxmlformats.org/officeDocument/2006/relationships/hyperlink" Target="http://www.factosphere.com/pubfinance/budget/sources" TargetMode="External"/><Relationship Id="rId552" Type="http://schemas.openxmlformats.org/officeDocument/2006/relationships/hyperlink" Target="https://en.wikipedia.org/wiki/Insurance" TargetMode="External"/><Relationship Id="rId594" Type="http://schemas.openxmlformats.org/officeDocument/2006/relationships/hyperlink" Target="https://en.wikipedia.org/wiki/Think_tank" TargetMode="External"/><Relationship Id="rId608" Type="http://schemas.openxmlformats.org/officeDocument/2006/relationships/hyperlink" Target="https://en.wikipedia.org/wiki/Ad_valorem" TargetMode="External"/><Relationship Id="rId191" Type="http://schemas.openxmlformats.org/officeDocument/2006/relationships/hyperlink" Target="https://en.wikipedia.org/wiki/Saskatchewan" TargetMode="External"/><Relationship Id="rId205" Type="http://schemas.openxmlformats.org/officeDocument/2006/relationships/hyperlink" Target="https://en.wikipedia.org/wiki/Retail" TargetMode="External"/><Relationship Id="rId247" Type="http://schemas.openxmlformats.org/officeDocument/2006/relationships/hyperlink" Target="http://www.bankofcanada.ca/core-functions/financial-system/bank-canada-risk-management-standards-systemic-fmis/" TargetMode="External"/><Relationship Id="rId412" Type="http://schemas.openxmlformats.org/officeDocument/2006/relationships/hyperlink" Target="https://en.wikipedia.org/wiki/GIC_Private_Limited" TargetMode="External"/><Relationship Id="rId107" Type="http://schemas.openxmlformats.org/officeDocument/2006/relationships/hyperlink" Target="https://en.wikipedia.org/wiki/Consumption_tax" TargetMode="External"/><Relationship Id="rId289" Type="http://schemas.openxmlformats.org/officeDocument/2006/relationships/hyperlink" Target="https://en.wikipedia.org/wiki/Northwest_Territories" TargetMode="External"/><Relationship Id="rId454" Type="http://schemas.openxmlformats.org/officeDocument/2006/relationships/hyperlink" Target="https://en.wikipedia.org/wiki/Mineral_resources" TargetMode="External"/><Relationship Id="rId496" Type="http://schemas.openxmlformats.org/officeDocument/2006/relationships/hyperlink" Target="http://www.factosphere.com/pubfinance/budget/sources" TargetMode="External"/><Relationship Id="rId661" Type="http://schemas.openxmlformats.org/officeDocument/2006/relationships/image" Target="media/image28.png"/><Relationship Id="rId11" Type="http://schemas.openxmlformats.org/officeDocument/2006/relationships/hyperlink" Target="http://www.focus-economics.com/country-indicator/united-states/gdp-usd-bn" TargetMode="External"/><Relationship Id="rId53" Type="http://schemas.openxmlformats.org/officeDocument/2006/relationships/hyperlink" Target="https://en.wikipedia.org/wiki/Title_31_of_the_United_States_Code" TargetMode="External"/><Relationship Id="rId149" Type="http://schemas.openxmlformats.org/officeDocument/2006/relationships/hyperlink" Target="http://www.tradingeconomics.com/united-kingdom/rating" TargetMode="External"/><Relationship Id="rId314" Type="http://schemas.openxmlformats.org/officeDocument/2006/relationships/hyperlink" Target="https://en.wikipedia.org/wiki/Social_security" TargetMode="External"/><Relationship Id="rId356" Type="http://schemas.openxmlformats.org/officeDocument/2006/relationships/hyperlink" Target="https://en.wikipedia.org/wiki/Investment_management" TargetMode="External"/><Relationship Id="rId398" Type="http://schemas.openxmlformats.org/officeDocument/2006/relationships/image" Target="media/image11.png"/><Relationship Id="rId521" Type="http://schemas.openxmlformats.org/officeDocument/2006/relationships/hyperlink" Target="http://www.factosphere.com/pubfinance/budget/sources" TargetMode="External"/><Relationship Id="rId563" Type="http://schemas.openxmlformats.org/officeDocument/2006/relationships/hyperlink" Target="https://en.wikipedia.org/wiki/Krasnoyarsk_Krai" TargetMode="External"/><Relationship Id="rId619" Type="http://schemas.openxmlformats.org/officeDocument/2006/relationships/hyperlink" Target="https://en.wikipedia.org/wiki/Dacha" TargetMode="External"/><Relationship Id="rId95" Type="http://schemas.openxmlformats.org/officeDocument/2006/relationships/hyperlink" Target="http://www.encyclopedia.com/medicine/diseases-and-conditions/pathology/acquired-immunodeficiency-syndrome" TargetMode="External"/><Relationship Id="rId160" Type="http://schemas.openxmlformats.org/officeDocument/2006/relationships/hyperlink" Target="https://en.wikipedia.org/wiki/Government_of_the_United_Kingdom" TargetMode="External"/><Relationship Id="rId216" Type="http://schemas.openxmlformats.org/officeDocument/2006/relationships/hyperlink" Target="https://en.wikipedia.org/wiki/Banking_in_Canada" TargetMode="External"/><Relationship Id="rId423" Type="http://schemas.openxmlformats.org/officeDocument/2006/relationships/hyperlink" Target="https://en.wikipedia.org/wiki/Central_bank" TargetMode="External"/><Relationship Id="rId258" Type="http://schemas.openxmlformats.org/officeDocument/2006/relationships/hyperlink" Target="http://www.imf.org/" TargetMode="External"/><Relationship Id="rId465" Type="http://schemas.openxmlformats.org/officeDocument/2006/relationships/hyperlink" Target="http://www.tradingeconomics.com/russia/government-spending" TargetMode="External"/><Relationship Id="rId630" Type="http://schemas.openxmlformats.org/officeDocument/2006/relationships/hyperlink" Target="https://en.wikipedia.org/w/index.php?title=Simplified_taxation_system_in_Russia&amp;action=edit&amp;redlink=1" TargetMode="External"/><Relationship Id="rId672" Type="http://schemas.openxmlformats.org/officeDocument/2006/relationships/hyperlink" Target="https://en.wikipedia.org/wiki/Petroleum" TargetMode="External"/><Relationship Id="rId22" Type="http://schemas.openxmlformats.org/officeDocument/2006/relationships/hyperlink" Target="http://www.focus-economics.com/country-indicator/united-states/public-debt" TargetMode="External"/><Relationship Id="rId64" Type="http://schemas.openxmlformats.org/officeDocument/2006/relationships/hyperlink" Target="https://en.wikipedia.org/wiki/Payroll_tax" TargetMode="External"/><Relationship Id="rId118" Type="http://schemas.openxmlformats.org/officeDocument/2006/relationships/hyperlink" Target="https://en.wikipedia.org/wiki/Black_Wednesday" TargetMode="External"/><Relationship Id="rId325" Type="http://schemas.openxmlformats.org/officeDocument/2006/relationships/hyperlink" Target="https://en.wikipedia.org/wiki/Deposit_account" TargetMode="External"/><Relationship Id="rId367" Type="http://schemas.openxmlformats.org/officeDocument/2006/relationships/hyperlink" Target="https://en.wikipedia.org/wiki/List_of_countries_by_public_debt" TargetMode="External"/><Relationship Id="rId532" Type="http://schemas.openxmlformats.org/officeDocument/2006/relationships/image" Target="media/image24.png"/><Relationship Id="rId574" Type="http://schemas.openxmlformats.org/officeDocument/2006/relationships/hyperlink" Target="https://en.wikipedia.org/wiki/Subsidiary" TargetMode="External"/><Relationship Id="rId171" Type="http://schemas.openxmlformats.org/officeDocument/2006/relationships/hyperlink" Target="https://en.wikipedia.org/wiki/Fiscal_year" TargetMode="External"/><Relationship Id="rId227" Type="http://schemas.openxmlformats.org/officeDocument/2006/relationships/hyperlink" Target="https://en.wikipedia.org/wiki/Bombardier_Inc." TargetMode="External"/><Relationship Id="rId269" Type="http://schemas.openxmlformats.org/officeDocument/2006/relationships/hyperlink" Target="https://en.wikipedia.org/wiki/Province" TargetMode="External"/><Relationship Id="rId434" Type="http://schemas.openxmlformats.org/officeDocument/2006/relationships/hyperlink" Target="https://en.wikipedia.org/w/index.php?title=Budget_Code_of_Russia&amp;action=edit&amp;redlink=1" TargetMode="External"/><Relationship Id="rId476" Type="http://schemas.openxmlformats.org/officeDocument/2006/relationships/image" Target="media/image17.png"/><Relationship Id="rId641" Type="http://schemas.openxmlformats.org/officeDocument/2006/relationships/hyperlink" Target="http://www.tradingeconomics.com/russia/corporate-tax-rate" TargetMode="External"/><Relationship Id="rId683" Type="http://schemas.openxmlformats.org/officeDocument/2006/relationships/hyperlink" Target="https://en.wikipedia.org/wiki/Turkmenistan_manat" TargetMode="External"/><Relationship Id="rId33" Type="http://schemas.openxmlformats.org/officeDocument/2006/relationships/hyperlink" Target="https://en.wikipedia.org/wiki/U.S._Congress" TargetMode="External"/><Relationship Id="rId129" Type="http://schemas.openxmlformats.org/officeDocument/2006/relationships/hyperlink" Target="https://en.wikipedia.org/wiki/Cost" TargetMode="External"/><Relationship Id="rId280" Type="http://schemas.openxmlformats.org/officeDocument/2006/relationships/hyperlink" Target="https://en.wikipedia.org/wiki/Saskatchewan" TargetMode="External"/><Relationship Id="rId336" Type="http://schemas.openxmlformats.org/officeDocument/2006/relationships/hyperlink" Target="https://en.wikipedia.org/wiki/Financial_services" TargetMode="External"/><Relationship Id="rId501" Type="http://schemas.openxmlformats.org/officeDocument/2006/relationships/image" Target="media/image21.png"/><Relationship Id="rId543" Type="http://schemas.openxmlformats.org/officeDocument/2006/relationships/hyperlink" Target="https://en.wikipedia.org/wiki/Construction" TargetMode="External"/><Relationship Id="rId75" Type="http://schemas.openxmlformats.org/officeDocument/2006/relationships/hyperlink" Target="https://www.nationalpriorities.org/budget-basics/federal-budget-101/glossary/" TargetMode="External"/><Relationship Id="rId140" Type="http://schemas.openxmlformats.org/officeDocument/2006/relationships/hyperlink" Target="http://www.tradingeconomics.com/united-kingdom/government-budget-value" TargetMode="External"/><Relationship Id="rId182" Type="http://schemas.openxmlformats.org/officeDocument/2006/relationships/hyperlink" Target="https://en.wikipedia.org/wiki/Economy_of_Canada" TargetMode="External"/><Relationship Id="rId378" Type="http://schemas.openxmlformats.org/officeDocument/2006/relationships/hyperlink" Target="https://en.wikipedia.org/wiki/Education" TargetMode="External"/><Relationship Id="rId403" Type="http://schemas.openxmlformats.org/officeDocument/2006/relationships/hyperlink" Target="https://en.wikipedia.org/wiki/Human_Rights_Watch" TargetMode="External"/><Relationship Id="rId585" Type="http://schemas.openxmlformats.org/officeDocument/2006/relationships/hyperlink" Target="https://en.wikipedia.org/wiki/Distiller" TargetMode="External"/><Relationship Id="rId6" Type="http://schemas.openxmlformats.org/officeDocument/2006/relationships/endnotes" Target="endnotes.xml"/><Relationship Id="rId238" Type="http://schemas.openxmlformats.org/officeDocument/2006/relationships/hyperlink" Target="https://en.wikipedia.org/wiki/Nuclear_power_in_Canada" TargetMode="External"/><Relationship Id="rId445" Type="http://schemas.openxmlformats.org/officeDocument/2006/relationships/hyperlink" Target="https://en.wikipedia.org/wiki/Tax_Code_of_Russia" TargetMode="External"/><Relationship Id="rId487" Type="http://schemas.openxmlformats.org/officeDocument/2006/relationships/hyperlink" Target="http://www.factosphere.com/pubfinance/budget/sources" TargetMode="External"/><Relationship Id="rId610" Type="http://schemas.openxmlformats.org/officeDocument/2006/relationships/hyperlink" Target="https://en.wikipedia.org/wiki/Asset" TargetMode="External"/><Relationship Id="rId652" Type="http://schemas.openxmlformats.org/officeDocument/2006/relationships/hyperlink" Target="https://en.wikipedia.org/wiki/Kyrgyzstan" TargetMode="External"/><Relationship Id="rId694" Type="http://schemas.openxmlformats.org/officeDocument/2006/relationships/hyperlink" Target="http://www.turkmenistan.it/bancheesteregb.html" TargetMode="External"/><Relationship Id="rId291" Type="http://schemas.openxmlformats.org/officeDocument/2006/relationships/hyperlink" Target="https://en.wikipedia.org/wiki/Yukon" TargetMode="External"/><Relationship Id="rId305" Type="http://schemas.openxmlformats.org/officeDocument/2006/relationships/hyperlink" Target="https://en.wikipedia.org/wiki/Planned_economy" TargetMode="External"/><Relationship Id="rId347" Type="http://schemas.openxmlformats.org/officeDocument/2006/relationships/hyperlink" Target="https://en.wikipedia.org/wiki/Financial_regulation" TargetMode="External"/><Relationship Id="rId512" Type="http://schemas.openxmlformats.org/officeDocument/2006/relationships/hyperlink" Target="http://www.factosphere.com/pubfinance/budget/sources" TargetMode="External"/><Relationship Id="rId44" Type="http://schemas.openxmlformats.org/officeDocument/2006/relationships/hyperlink" Target="https://en.wikipedia.org/wiki/Gross_domestic_product" TargetMode="External"/><Relationship Id="rId86" Type="http://schemas.openxmlformats.org/officeDocument/2006/relationships/hyperlink" Target="https://en.wikipedia.org/wiki/Constitution_of_France" TargetMode="External"/><Relationship Id="rId151" Type="http://schemas.openxmlformats.org/officeDocument/2006/relationships/hyperlink" Target="http://www.tradingeconomics.com/united-kingdom/military-expenditure" TargetMode="External"/><Relationship Id="rId389" Type="http://schemas.openxmlformats.org/officeDocument/2006/relationships/hyperlink" Target="https://en.wikipedia.org/wiki/Social_welfare_provision" TargetMode="External"/><Relationship Id="rId554" Type="http://schemas.openxmlformats.org/officeDocument/2006/relationships/hyperlink" Target="https://en.wikipedia.org/wiki/Software" TargetMode="External"/><Relationship Id="rId596" Type="http://schemas.openxmlformats.org/officeDocument/2006/relationships/hyperlink" Target="https://en.wikipedia.org/wiki/Taxation_in_Russia" TargetMode="External"/><Relationship Id="rId193" Type="http://schemas.openxmlformats.org/officeDocument/2006/relationships/hyperlink" Target="https://en.wikipedia.org/wiki/International_trade" TargetMode="External"/><Relationship Id="rId207" Type="http://schemas.openxmlformats.org/officeDocument/2006/relationships/hyperlink" Target="https://en.wikipedia.org/wiki/Big-box_store" TargetMode="External"/><Relationship Id="rId249" Type="http://schemas.openxmlformats.org/officeDocument/2006/relationships/hyperlink" Target="http://www.bankofcanada.ca/core-functions/financial-system/canadas-major-payments-systems/" TargetMode="External"/><Relationship Id="rId414" Type="http://schemas.openxmlformats.org/officeDocument/2006/relationships/hyperlink" Target="https://en.wikipedia.org/wiki/Singapore_Airlines" TargetMode="External"/><Relationship Id="rId456" Type="http://schemas.openxmlformats.org/officeDocument/2006/relationships/hyperlink" Target="https://en.wikipedia.org/wiki/Export_duties" TargetMode="External"/><Relationship Id="rId498" Type="http://schemas.openxmlformats.org/officeDocument/2006/relationships/hyperlink" Target="http://www.factosphere.com/pubfinance/budget/sources" TargetMode="External"/><Relationship Id="rId621" Type="http://schemas.openxmlformats.org/officeDocument/2006/relationships/hyperlink" Target="https://en.wikipedia.org/wiki/Satellite" TargetMode="External"/><Relationship Id="rId663" Type="http://schemas.openxmlformats.org/officeDocument/2006/relationships/image" Target="media/image30.png"/><Relationship Id="rId13" Type="http://schemas.openxmlformats.org/officeDocument/2006/relationships/hyperlink" Target="http://www.focus-economics.com/country-indicator/united-states/domestic-demand" TargetMode="External"/><Relationship Id="rId109" Type="http://schemas.openxmlformats.org/officeDocument/2006/relationships/hyperlink" Target="https://en.wikipedia.org/wiki/Neoliberalism" TargetMode="External"/><Relationship Id="rId260" Type="http://schemas.openxmlformats.org/officeDocument/2006/relationships/hyperlink" Target="http://www.financialstabilityboard.org/" TargetMode="External"/><Relationship Id="rId316" Type="http://schemas.openxmlformats.org/officeDocument/2006/relationships/hyperlink" Target="https://en.wikipedia.org/wiki/Germany" TargetMode="External"/><Relationship Id="rId523" Type="http://schemas.openxmlformats.org/officeDocument/2006/relationships/hyperlink" Target="http://www.factosphere.com/pubfinance/budget/sources" TargetMode="External"/><Relationship Id="rId55" Type="http://schemas.openxmlformats.org/officeDocument/2006/relationships/hyperlink" Target="https://en.wikipedia.org/wiki/Net_present_value" TargetMode="External"/><Relationship Id="rId97" Type="http://schemas.openxmlformats.org/officeDocument/2006/relationships/hyperlink" Target="http://www.encyclopedia.com/social-sciences-and-law/education/colleges-international/sorbonne" TargetMode="External"/><Relationship Id="rId120" Type="http://schemas.openxmlformats.org/officeDocument/2006/relationships/hyperlink" Target="https://en.wikipedia.org/wiki/Tony_Blair" TargetMode="External"/><Relationship Id="rId358" Type="http://schemas.openxmlformats.org/officeDocument/2006/relationships/hyperlink" Target="https://en.wikipedia.org/wiki/China_Insurance_Regulatory_Commission" TargetMode="External"/><Relationship Id="rId565" Type="http://schemas.openxmlformats.org/officeDocument/2006/relationships/hyperlink" Target="https://en.wikipedia.org/wiki/Gas_condensate" TargetMode="External"/><Relationship Id="rId162" Type="http://schemas.openxmlformats.org/officeDocument/2006/relationships/hyperlink" Target="https://en.wikipedia.org/wiki/Local_government_in_the_United_Kingdom" TargetMode="External"/><Relationship Id="rId218" Type="http://schemas.openxmlformats.org/officeDocument/2006/relationships/hyperlink" Target="https://en.wikipedia.org/wiki/Media_in_Canada" TargetMode="External"/><Relationship Id="rId425" Type="http://schemas.openxmlformats.org/officeDocument/2006/relationships/hyperlink" Target="https://en.wikipedia.org/wiki/Singapore_dollar" TargetMode="External"/><Relationship Id="rId467" Type="http://schemas.openxmlformats.org/officeDocument/2006/relationships/hyperlink" Target="http://www.tradingeconomics.com/russia/government-revenues" TargetMode="External"/><Relationship Id="rId632" Type="http://schemas.openxmlformats.org/officeDocument/2006/relationships/hyperlink" Target="https://en.wikipedia.org/wiki/Animal_husbandry" TargetMode="External"/><Relationship Id="rId271" Type="http://schemas.openxmlformats.org/officeDocument/2006/relationships/hyperlink" Target="https://en.wikipedia.org/wiki/Municipality" TargetMode="External"/><Relationship Id="rId674" Type="http://schemas.openxmlformats.org/officeDocument/2006/relationships/hyperlink" Target="https://en.wikipedia.org/wiki/Economy_of_Turkmenistan" TargetMode="External"/><Relationship Id="rId24" Type="http://schemas.openxmlformats.org/officeDocument/2006/relationships/hyperlink" Target="http://www.focus-economics.com/country-indicator/united-states/inflation-eop" TargetMode="External"/><Relationship Id="rId66" Type="http://schemas.openxmlformats.org/officeDocument/2006/relationships/hyperlink" Target="https://en.wikipedia.org/wiki/Customs" TargetMode="External"/><Relationship Id="rId131" Type="http://schemas.openxmlformats.org/officeDocument/2006/relationships/hyperlink" Target="https://en.wikipedia.org/wiki/Government_of_the_United_Kingdom" TargetMode="External"/><Relationship Id="rId327" Type="http://schemas.openxmlformats.org/officeDocument/2006/relationships/hyperlink" Target="https://en.wikipedia.org/wiki/Credit_(finance)" TargetMode="External"/><Relationship Id="rId369" Type="http://schemas.openxmlformats.org/officeDocument/2006/relationships/hyperlink" Target="https://en.wikipedia.org/wiki/Government_budget_deficit" TargetMode="External"/><Relationship Id="rId534" Type="http://schemas.openxmlformats.org/officeDocument/2006/relationships/hyperlink" Target="https://en.wikipedia.org/wiki/Russian_Federation" TargetMode="External"/><Relationship Id="rId576" Type="http://schemas.openxmlformats.org/officeDocument/2006/relationships/hyperlink" Target="https://en.wikipedia.org/wiki/Excise_tax" TargetMode="External"/><Relationship Id="rId173" Type="http://schemas.openxmlformats.org/officeDocument/2006/relationships/hyperlink" Target="https://www.economicshelp.org/blog/12245/housing/cut-in-uk-stamp-duty/" TargetMode="External"/><Relationship Id="rId229" Type="http://schemas.openxmlformats.org/officeDocument/2006/relationships/hyperlink" Target="https://en.wikipedia.org/wiki/British_Columbia" TargetMode="External"/><Relationship Id="rId380" Type="http://schemas.openxmlformats.org/officeDocument/2006/relationships/hyperlink" Target="https://en.wikipedia.org/wiki/Health_care" TargetMode="External"/><Relationship Id="rId436" Type="http://schemas.openxmlformats.org/officeDocument/2006/relationships/hyperlink" Target="https://en.wikipedia.org/wiki/Russian_government" TargetMode="External"/><Relationship Id="rId601" Type="http://schemas.openxmlformats.org/officeDocument/2006/relationships/hyperlink" Target="https://en.wikipedia.org/wiki/Alimony" TargetMode="External"/><Relationship Id="rId643" Type="http://schemas.openxmlformats.org/officeDocument/2006/relationships/hyperlink" Target="http://www.tradingeconomics.com/russia/personal-income-tax-rate" TargetMode="External"/><Relationship Id="rId240" Type="http://schemas.openxmlformats.org/officeDocument/2006/relationships/hyperlink" Target="https://en.wikipedia.org/wiki/Canada-United_States_Free_Trade_Agreement" TargetMode="External"/><Relationship Id="rId478" Type="http://schemas.openxmlformats.org/officeDocument/2006/relationships/image" Target="media/image19.png"/><Relationship Id="rId685" Type="http://schemas.openxmlformats.org/officeDocument/2006/relationships/hyperlink" Target="https://en.wikipedia.org/wiki/President_of_Turkmenistan" TargetMode="External"/><Relationship Id="rId35" Type="http://schemas.openxmlformats.org/officeDocument/2006/relationships/hyperlink" Target="https://en.wikipedia.org/wiki/United_States_budget_process" TargetMode="External"/><Relationship Id="rId77" Type="http://schemas.openxmlformats.org/officeDocument/2006/relationships/hyperlink" Target="https://www.nationalpriorities.org/budget-basics/federal-budget-101/glossary/" TargetMode="External"/><Relationship Id="rId100" Type="http://schemas.openxmlformats.org/officeDocument/2006/relationships/hyperlink" Target="https://en.wikipedia.org/wiki/Value_added_tax" TargetMode="External"/><Relationship Id="rId282" Type="http://schemas.openxmlformats.org/officeDocument/2006/relationships/hyperlink" Target="https://en.wikipedia.org/wiki/Nova_Scotia" TargetMode="External"/><Relationship Id="rId338" Type="http://schemas.openxmlformats.org/officeDocument/2006/relationships/hyperlink" Target="https://en.wikipedia.org/wiki/Industrial_and_Commercial_Bank_of_China" TargetMode="External"/><Relationship Id="rId503" Type="http://schemas.openxmlformats.org/officeDocument/2006/relationships/hyperlink" Target="http://www.factosphere.com/pubfinance/budget/sources" TargetMode="External"/><Relationship Id="rId545" Type="http://schemas.openxmlformats.org/officeDocument/2006/relationships/hyperlink" Target="https://en.wikipedia.org/wiki/Taxation_in_Russia" TargetMode="External"/><Relationship Id="rId587" Type="http://schemas.openxmlformats.org/officeDocument/2006/relationships/hyperlink" Target="https://en.wikipedia.org/wiki/Price_fixing" TargetMode="External"/><Relationship Id="rId8" Type="http://schemas.openxmlformats.org/officeDocument/2006/relationships/image" Target="media/image2.png"/><Relationship Id="rId142" Type="http://schemas.openxmlformats.org/officeDocument/2006/relationships/hyperlink" Target="http://www.tradingeconomics.com/united-kingdom/government-spending" TargetMode="External"/><Relationship Id="rId184" Type="http://schemas.openxmlformats.org/officeDocument/2006/relationships/hyperlink" Target="https://en.wikipedia.org/wiki/Logging" TargetMode="External"/><Relationship Id="rId391" Type="http://schemas.openxmlformats.org/officeDocument/2006/relationships/hyperlink" Target="https://en.wikipedia.org/wiki/Science" TargetMode="External"/><Relationship Id="rId405" Type="http://schemas.openxmlformats.org/officeDocument/2006/relationships/hyperlink" Target="https://en.wikipedia.org/wiki/Burma" TargetMode="External"/><Relationship Id="rId447" Type="http://schemas.openxmlformats.org/officeDocument/2006/relationships/hyperlink" Target="https://en.wikipedia.org/w/index.php?title=Land_Code_of_Russia&amp;action=edit&amp;redlink=1" TargetMode="External"/><Relationship Id="rId612" Type="http://schemas.openxmlformats.org/officeDocument/2006/relationships/hyperlink" Target="https://en.wikipedia.org/w/index.php?title=Vehicle_tax&amp;action=edit&amp;redlink=1" TargetMode="External"/><Relationship Id="rId251" Type="http://schemas.openxmlformats.org/officeDocument/2006/relationships/hyperlink" Target="http://www.bankofcanada.ca/core-functions/financial-system/clearing-and-settlement-systems/" TargetMode="External"/><Relationship Id="rId489" Type="http://schemas.openxmlformats.org/officeDocument/2006/relationships/hyperlink" Target="http://www.factosphere.com/pubfinance/budget/sources" TargetMode="External"/><Relationship Id="rId654" Type="http://schemas.openxmlformats.org/officeDocument/2006/relationships/hyperlink" Target="https://en.wikipedia.org/w/index.php?title=Agroprombank&amp;action=edit&amp;redlink=1" TargetMode="External"/><Relationship Id="rId696" Type="http://schemas.openxmlformats.org/officeDocument/2006/relationships/hyperlink" Target="http://accountlearning.com/foreign-exchange-market-in-india/" TargetMode="External"/><Relationship Id="rId46" Type="http://schemas.openxmlformats.org/officeDocument/2006/relationships/hyperlink" Target="https://en.wikipedia.org/wiki/Donald_Trump" TargetMode="External"/><Relationship Id="rId293" Type="http://schemas.openxmlformats.org/officeDocument/2006/relationships/hyperlink" Target="https://en.wikipedia.org/wiki/Vancouver" TargetMode="External"/><Relationship Id="rId307" Type="http://schemas.openxmlformats.org/officeDocument/2006/relationships/hyperlink" Target="https://en.wikipedia.org/wiki/Technological_escalation" TargetMode="External"/><Relationship Id="rId349" Type="http://schemas.openxmlformats.org/officeDocument/2006/relationships/hyperlink" Target="https://en.wikipedia.org/wiki/China_Insurance_Regulatory_Commission" TargetMode="External"/><Relationship Id="rId514" Type="http://schemas.openxmlformats.org/officeDocument/2006/relationships/hyperlink" Target="http://www.factosphere.com/pubfinance/budget/sources" TargetMode="External"/><Relationship Id="rId556" Type="http://schemas.openxmlformats.org/officeDocument/2006/relationships/hyperlink" Target="https://en.wikipedia.org/wiki/Topology_(electronics)" TargetMode="External"/><Relationship Id="rId88" Type="http://schemas.openxmlformats.org/officeDocument/2006/relationships/hyperlink" Target="https://en.wikipedia.org/wiki/Senate_(France)" TargetMode="External"/><Relationship Id="rId111" Type="http://schemas.openxmlformats.org/officeDocument/2006/relationships/hyperlink" Target="https://en.wikipedia.org/wiki/United_Kingdom_general_election,_1979" TargetMode="External"/><Relationship Id="rId153" Type="http://schemas.openxmlformats.org/officeDocument/2006/relationships/hyperlink" Target="http://www.tradingeconomics.com/united-kingdom/asylum-applications" TargetMode="External"/><Relationship Id="rId195" Type="http://schemas.openxmlformats.org/officeDocument/2006/relationships/hyperlink" Target="https://en.wikipedia.org/wiki/Nickel" TargetMode="External"/><Relationship Id="rId209" Type="http://schemas.openxmlformats.org/officeDocument/2006/relationships/hyperlink" Target="https://en.wikipedia.org/wiki/Real_Canadian_Superstore" TargetMode="External"/><Relationship Id="rId360" Type="http://schemas.openxmlformats.org/officeDocument/2006/relationships/hyperlink" Target="https://en.wikipedia.org/wiki/World_Bank" TargetMode="External"/><Relationship Id="rId416" Type="http://schemas.openxmlformats.org/officeDocument/2006/relationships/hyperlink" Target="https://en.wikipedia.org/wiki/ST_Engineering" TargetMode="External"/><Relationship Id="rId598" Type="http://schemas.openxmlformats.org/officeDocument/2006/relationships/hyperlink" Target="https://en.wikipedia.org/wiki/Filing_Status_(federal_income_tax)" TargetMode="External"/><Relationship Id="rId220" Type="http://schemas.openxmlformats.org/officeDocument/2006/relationships/hyperlink" Target="https://en.wikipedia.org/wiki/Statistics_Canada" TargetMode="External"/><Relationship Id="rId458" Type="http://schemas.openxmlformats.org/officeDocument/2006/relationships/hyperlink" Target="http://www.tradingeconomics.com/russia/government-debt-to-gdp" TargetMode="External"/><Relationship Id="rId623" Type="http://schemas.openxmlformats.org/officeDocument/2006/relationships/hyperlink" Target="https://en.wikipedia.org/wiki/Horsepower" TargetMode="External"/><Relationship Id="rId665" Type="http://schemas.openxmlformats.org/officeDocument/2006/relationships/image" Target="media/image32.png"/><Relationship Id="rId15" Type="http://schemas.openxmlformats.org/officeDocument/2006/relationships/hyperlink" Target="http://www.focus-economics.com/country-indicator/united-states/investment" TargetMode="External"/><Relationship Id="rId57" Type="http://schemas.openxmlformats.org/officeDocument/2006/relationships/hyperlink" Target="https://en.wikipedia.org/wiki/Hurricane_Katrina" TargetMode="External"/><Relationship Id="rId262" Type="http://schemas.openxmlformats.org/officeDocument/2006/relationships/hyperlink" Target="http://www.bis.org/" TargetMode="External"/><Relationship Id="rId318" Type="http://schemas.openxmlformats.org/officeDocument/2006/relationships/hyperlink" Target="https://en.wikipedia.org/wiki/World_energy_resources_and_consumption" TargetMode="External"/><Relationship Id="rId525" Type="http://schemas.openxmlformats.org/officeDocument/2006/relationships/hyperlink" Target="http://www.factosphere.com/pubfinance/budget/sources" TargetMode="External"/><Relationship Id="rId567" Type="http://schemas.openxmlformats.org/officeDocument/2006/relationships/hyperlink" Target="https://en.wikipedia.org/wiki/Timber_rafting" TargetMode="External"/><Relationship Id="rId99" Type="http://schemas.openxmlformats.org/officeDocument/2006/relationships/hyperlink" Target="https://en.wikipedia.org/wiki/Domestic_market" TargetMode="External"/><Relationship Id="rId122" Type="http://schemas.openxmlformats.org/officeDocument/2006/relationships/hyperlink" Target="https://en.wikipedia.org/wiki/Current_account" TargetMode="External"/><Relationship Id="rId164" Type="http://schemas.openxmlformats.org/officeDocument/2006/relationships/hyperlink" Target="https://en.wikipedia.org/wiki/National_Insurance" TargetMode="External"/><Relationship Id="rId371" Type="http://schemas.openxmlformats.org/officeDocument/2006/relationships/hyperlink" Target="https://en.wikipedia.org/wiki/Revenue" TargetMode="External"/><Relationship Id="rId427" Type="http://schemas.openxmlformats.org/officeDocument/2006/relationships/hyperlink" Target="https://en.wikipedia.org/wiki/Bank_of_England" TargetMode="External"/><Relationship Id="rId469" Type="http://schemas.openxmlformats.org/officeDocument/2006/relationships/hyperlink" Target="http://www.tradingeconomics.com/russia/government-debt" TargetMode="External"/><Relationship Id="rId634" Type="http://schemas.openxmlformats.org/officeDocument/2006/relationships/hyperlink" Target="https://en.wikipedia.org/w/index.php?title=Pension_Fund_of_Russia&amp;action=edit&amp;redlink=1" TargetMode="External"/><Relationship Id="rId676" Type="http://schemas.openxmlformats.org/officeDocument/2006/relationships/hyperlink" Target="https://en.wikipedia.org/wiki/Turkmenistan" TargetMode="External"/><Relationship Id="rId26" Type="http://schemas.openxmlformats.org/officeDocument/2006/relationships/hyperlink" Target="http://www.focus-economics.com/country-indicator/united-states/producer-prices" TargetMode="External"/><Relationship Id="rId231" Type="http://schemas.openxmlformats.org/officeDocument/2006/relationships/hyperlink" Target="https://en.wikipedia.org/wiki/Athabasca_oil_sands" TargetMode="External"/><Relationship Id="rId273" Type="http://schemas.openxmlformats.org/officeDocument/2006/relationships/hyperlink" Target="https://en.wikipedia.org/wiki/Canada" TargetMode="External"/><Relationship Id="rId329" Type="http://schemas.openxmlformats.org/officeDocument/2006/relationships/hyperlink" Target="https://en.wikipedia.org/wiki/Chinese_economic_stimulus_program" TargetMode="External"/><Relationship Id="rId480" Type="http://schemas.openxmlformats.org/officeDocument/2006/relationships/hyperlink" Target="http://www.factosphere.com/pubfinance/budget/sources" TargetMode="External"/><Relationship Id="rId536" Type="http://schemas.openxmlformats.org/officeDocument/2006/relationships/hyperlink" Target="https://en.wikipedia.org/wiki/Taxation_in_Russia" TargetMode="External"/><Relationship Id="rId701" Type="http://schemas.openxmlformats.org/officeDocument/2006/relationships/image" Target="media/image34.png"/><Relationship Id="rId68" Type="http://schemas.openxmlformats.org/officeDocument/2006/relationships/hyperlink" Target="https://en.wikipedia.org/wiki/Inheritance_tax" TargetMode="External"/><Relationship Id="rId133" Type="http://schemas.openxmlformats.org/officeDocument/2006/relationships/hyperlink" Target="https://en.wikipedia.org/wiki/Chancellor_of_the_Exchequer" TargetMode="External"/><Relationship Id="rId175" Type="http://schemas.openxmlformats.org/officeDocument/2006/relationships/hyperlink" Target="https://en.wikipedia.org/wiki/Canada" TargetMode="External"/><Relationship Id="rId340" Type="http://schemas.openxmlformats.org/officeDocument/2006/relationships/hyperlink" Target="https://en.wikipedia.org/wiki/Agricultural_Bank_of_China" TargetMode="External"/><Relationship Id="rId578" Type="http://schemas.openxmlformats.org/officeDocument/2006/relationships/hyperlink" Target="https://en.wikipedia.org/wiki/Beer" TargetMode="External"/><Relationship Id="rId200" Type="http://schemas.openxmlformats.org/officeDocument/2006/relationships/hyperlink" Target="https://en.wikipedia.org/wiki/Cameco" TargetMode="External"/><Relationship Id="rId382" Type="http://schemas.openxmlformats.org/officeDocument/2006/relationships/hyperlink" Target="https://en.wikipedia.org/wiki/Administration_(government)" TargetMode="External"/><Relationship Id="rId438" Type="http://schemas.openxmlformats.org/officeDocument/2006/relationships/hyperlink" Target="https://en.wikipedia.org/wiki/Lower_house" TargetMode="External"/><Relationship Id="rId603" Type="http://schemas.openxmlformats.org/officeDocument/2006/relationships/hyperlink" Target="https://en.wikipedia.org/wiki/Central_Bank_of_Russia" TargetMode="External"/><Relationship Id="rId645" Type="http://schemas.openxmlformats.org/officeDocument/2006/relationships/hyperlink" Target="http://www.tradingeconomics.com/russia/sales-tax-rate" TargetMode="External"/><Relationship Id="rId687" Type="http://schemas.openxmlformats.org/officeDocument/2006/relationships/hyperlink" Target="https://en.wikipedia.org/wiki/Assembly_of_Turkmenistan" TargetMode="External"/><Relationship Id="rId242" Type="http://schemas.openxmlformats.org/officeDocument/2006/relationships/hyperlink" Target="http://www.bankofcanada.ca/core-functions/financial-system/" TargetMode="External"/><Relationship Id="rId284" Type="http://schemas.openxmlformats.org/officeDocument/2006/relationships/hyperlink" Target="https://en.wikipedia.org/wiki/Newfoundland_and_Labrador" TargetMode="External"/><Relationship Id="rId491" Type="http://schemas.openxmlformats.org/officeDocument/2006/relationships/hyperlink" Target="http://www.factosphere.com/pubfinance/budget/sources" TargetMode="External"/><Relationship Id="rId505" Type="http://schemas.openxmlformats.org/officeDocument/2006/relationships/hyperlink" Target="http://www.factosphere.com/pubfinance/budget/sources" TargetMode="External"/><Relationship Id="rId37" Type="http://schemas.openxmlformats.org/officeDocument/2006/relationships/hyperlink" Target="https://en.wikipedia.org/wiki/Government_Accountability_Office" TargetMode="External"/><Relationship Id="rId79" Type="http://schemas.openxmlformats.org/officeDocument/2006/relationships/hyperlink" Target="https://www.nationalpriorities.org/budget-basics/federal-budget-101/glossary/" TargetMode="External"/><Relationship Id="rId102" Type="http://schemas.openxmlformats.org/officeDocument/2006/relationships/hyperlink" Target="https://en.wikipedia.org/wiki/Payroll_tax" TargetMode="External"/><Relationship Id="rId144" Type="http://schemas.openxmlformats.org/officeDocument/2006/relationships/hyperlink" Target="http://www.tradingeconomics.com/united-kingdom/government-spending-to-gdp" TargetMode="External"/><Relationship Id="rId547" Type="http://schemas.openxmlformats.org/officeDocument/2006/relationships/hyperlink" Target="https://en.wikipedia.org/wiki/Value_added_tax" TargetMode="External"/><Relationship Id="rId589" Type="http://schemas.openxmlformats.org/officeDocument/2006/relationships/hyperlink" Target="https://en.wikipedia.org/wiki/Charity_(practice)" TargetMode="External"/><Relationship Id="rId90" Type="http://schemas.openxmlformats.org/officeDocument/2006/relationships/hyperlink" Target="https://en.wikipedia.org/w/index.php?title=Budget_of_France&amp;action=edit&amp;section=1" TargetMode="External"/><Relationship Id="rId186" Type="http://schemas.openxmlformats.org/officeDocument/2006/relationships/hyperlink" Target="https://en.wikipedia.org/wiki/Central_Canada" TargetMode="External"/><Relationship Id="rId351" Type="http://schemas.openxmlformats.org/officeDocument/2006/relationships/hyperlink" Target="https://en.wikipedia.org/wiki/Corporate_governance" TargetMode="External"/><Relationship Id="rId393" Type="http://schemas.openxmlformats.org/officeDocument/2006/relationships/hyperlink" Target="https://en.wikipedia.org/wiki/Industry" TargetMode="External"/><Relationship Id="rId407" Type="http://schemas.openxmlformats.org/officeDocument/2006/relationships/hyperlink" Target="https://en.wikipedia.org/wiki/Bank_secrecy" TargetMode="External"/><Relationship Id="rId449" Type="http://schemas.openxmlformats.org/officeDocument/2006/relationships/hyperlink" Target="https://en.wikipedia.org/wiki/World_Bank" TargetMode="External"/><Relationship Id="rId614" Type="http://schemas.openxmlformats.org/officeDocument/2006/relationships/hyperlink" Target="https://en.wikipedia.org/wiki/In_re" TargetMode="External"/><Relationship Id="rId656" Type="http://schemas.openxmlformats.org/officeDocument/2006/relationships/hyperlink" Target="https://en.wikipedia.org/w/index.php?title=Commercial_Bank_of_Kyrgyzstan&amp;action=edit&amp;redlink=1" TargetMode="External"/><Relationship Id="rId211" Type="http://schemas.openxmlformats.org/officeDocument/2006/relationships/hyperlink" Target="https://en.wikipedia.org/wiki/Financial_services" TargetMode="External"/><Relationship Id="rId253" Type="http://schemas.openxmlformats.org/officeDocument/2006/relationships/hyperlink" Target="http://www.bankofcanada.ca/core-functions/financial-system/clearing-and-settlement-systems/" TargetMode="External"/><Relationship Id="rId295" Type="http://schemas.openxmlformats.org/officeDocument/2006/relationships/hyperlink" Target="http://findlink.at/CRA" TargetMode="External"/><Relationship Id="rId309" Type="http://schemas.openxmlformats.org/officeDocument/2006/relationships/hyperlink" Target="https://en.wikipedia.org/wiki/International_trade" TargetMode="External"/><Relationship Id="rId460" Type="http://schemas.openxmlformats.org/officeDocument/2006/relationships/hyperlink" Target="http://www.tradingeconomics.com/russia/government-budget" TargetMode="External"/><Relationship Id="rId516" Type="http://schemas.openxmlformats.org/officeDocument/2006/relationships/hyperlink" Target="http://www.factosphere.com/pubfinance/budget/sources" TargetMode="External"/><Relationship Id="rId698" Type="http://schemas.openxmlformats.org/officeDocument/2006/relationships/hyperlink" Target="http://accountlearning.com/types-of-financial-services-in-india/" TargetMode="External"/><Relationship Id="rId48" Type="http://schemas.openxmlformats.org/officeDocument/2006/relationships/hyperlink" Target="https://en.wikipedia.org/wiki/Committee_for_a_Responsible_Federal_Budget" TargetMode="External"/><Relationship Id="rId113" Type="http://schemas.openxmlformats.org/officeDocument/2006/relationships/hyperlink" Target="https://en.wikipedia.org/wiki/Great_Depression" TargetMode="External"/><Relationship Id="rId320" Type="http://schemas.openxmlformats.org/officeDocument/2006/relationships/hyperlink" Target="https://en.wikipedia.org/wiki/Monetary_policy" TargetMode="External"/><Relationship Id="rId558" Type="http://schemas.openxmlformats.org/officeDocument/2006/relationships/hyperlink" Target="https://en.wikipedia.org/wiki/Taxation_in_Russia" TargetMode="External"/><Relationship Id="rId155" Type="http://schemas.openxmlformats.org/officeDocument/2006/relationships/hyperlink" Target="https://en.wikipedia.org/wiki/United_Kingdom_budget" TargetMode="External"/><Relationship Id="rId197" Type="http://schemas.openxmlformats.org/officeDocument/2006/relationships/hyperlink" Target="https://en.wikipedia.org/wiki/Diamonds" TargetMode="External"/><Relationship Id="rId362" Type="http://schemas.openxmlformats.org/officeDocument/2006/relationships/hyperlink" Target="https://en.wikipedia.org/wiki/Bank_for_International_Settlements" TargetMode="External"/><Relationship Id="rId418" Type="http://schemas.openxmlformats.org/officeDocument/2006/relationships/hyperlink" Target="https://en.wikipedia.org/w/index.php?title=Brett_Blundy&amp;action=edit&amp;redlink=1" TargetMode="External"/><Relationship Id="rId625" Type="http://schemas.openxmlformats.org/officeDocument/2006/relationships/hyperlink" Target="https://en.wikipedia.org/wiki/Gambling_in_Russia" TargetMode="External"/><Relationship Id="rId222" Type="http://schemas.openxmlformats.org/officeDocument/2006/relationships/hyperlink" Target="https://en.wikipedia.org/wiki/Branch_plant" TargetMode="External"/><Relationship Id="rId264" Type="http://schemas.openxmlformats.org/officeDocument/2006/relationships/image" Target="media/image9.png"/><Relationship Id="rId471" Type="http://schemas.openxmlformats.org/officeDocument/2006/relationships/hyperlink" Target="http://www.tradingeconomics.com/russia/fiscal-expenditure" TargetMode="External"/><Relationship Id="rId667" Type="http://schemas.openxmlformats.org/officeDocument/2006/relationships/hyperlink" Target="https://en.wikipedia.org/wiki/Turkmenistan" TargetMode="External"/><Relationship Id="rId17" Type="http://schemas.openxmlformats.org/officeDocument/2006/relationships/hyperlink" Target="http://www.focus-economics.com/country-indicator/united-states/imports-good-services" TargetMode="External"/><Relationship Id="rId59" Type="http://schemas.openxmlformats.org/officeDocument/2006/relationships/hyperlink" Target="https://en.wikipedia.org/wiki/Iraq_war" TargetMode="External"/><Relationship Id="rId124" Type="http://schemas.openxmlformats.org/officeDocument/2006/relationships/hyperlink" Target="https://www.theguardian.com/politics/margaretthatcher" TargetMode="External"/><Relationship Id="rId527" Type="http://schemas.openxmlformats.org/officeDocument/2006/relationships/hyperlink" Target="http://www.factosphere.com/pubfinance/budget/sources" TargetMode="External"/><Relationship Id="rId569" Type="http://schemas.openxmlformats.org/officeDocument/2006/relationships/hyperlink" Target="https://en.wikipedia.org/wiki/2008_Russian_financial_crisis" TargetMode="External"/><Relationship Id="rId70" Type="http://schemas.openxmlformats.org/officeDocument/2006/relationships/hyperlink" Target="https://en.wikipedia.org/wiki/Federal_Reserve_System" TargetMode="External"/><Relationship Id="rId166" Type="http://schemas.openxmlformats.org/officeDocument/2006/relationships/hyperlink" Target="https://en.wikipedia.org/wiki/United_Kingdom_corporation_tax" TargetMode="External"/><Relationship Id="rId331" Type="http://schemas.openxmlformats.org/officeDocument/2006/relationships/hyperlink" Target="https://en.wikipedia.org/wiki/Central_bank" TargetMode="External"/><Relationship Id="rId373" Type="http://schemas.openxmlformats.org/officeDocument/2006/relationships/hyperlink" Target="https://en.wikipedia.org/wiki/Tax" TargetMode="External"/><Relationship Id="rId429" Type="http://schemas.openxmlformats.org/officeDocument/2006/relationships/hyperlink" Target="https://en.wikipedia.org/w/index.php?title=Budget_system_of_Russia&amp;action=edit&amp;redlink=1" TargetMode="External"/><Relationship Id="rId580" Type="http://schemas.openxmlformats.org/officeDocument/2006/relationships/hyperlink" Target="https://en.wikipedia.org/wiki/Diesel_fuel" TargetMode="External"/><Relationship Id="rId636" Type="http://schemas.openxmlformats.org/officeDocument/2006/relationships/hyperlink" Target="http://www.vfbs.ru/startup/brief_tax.html" TargetMode="External"/><Relationship Id="rId1" Type="http://schemas.openxmlformats.org/officeDocument/2006/relationships/numbering" Target="numbering.xml"/><Relationship Id="rId233" Type="http://schemas.openxmlformats.org/officeDocument/2006/relationships/hyperlink" Target="https://en.wikipedia.org/wiki/Quebec" TargetMode="External"/><Relationship Id="rId440" Type="http://schemas.openxmlformats.org/officeDocument/2006/relationships/hyperlink" Target="https://en.wikipedia.org/wiki/Fiscal_year" TargetMode="External"/><Relationship Id="rId678" Type="http://schemas.openxmlformats.org/officeDocument/2006/relationships/hyperlink" Target="https://en.wikipedia.org/wiki/Gurbanguly_Berdimuhamedow" TargetMode="External"/><Relationship Id="rId28" Type="http://schemas.openxmlformats.org/officeDocument/2006/relationships/hyperlink" Target="http://www.focus-economics.com/country-indicator/united-states/stock-market" TargetMode="External"/><Relationship Id="rId275" Type="http://schemas.openxmlformats.org/officeDocument/2006/relationships/hyperlink" Target="https://en.wikipedia.org/wiki/Ontario" TargetMode="External"/><Relationship Id="rId300" Type="http://schemas.openxmlformats.org/officeDocument/2006/relationships/hyperlink" Target="http://settlement.org/ontario/daily-life/personal-finance/taxes/what-is-the-hst-credit-am-i-eligible/" TargetMode="External"/><Relationship Id="rId482" Type="http://schemas.openxmlformats.org/officeDocument/2006/relationships/hyperlink" Target="http://www.factosphere.com/pubfinance/budget/sources" TargetMode="External"/><Relationship Id="rId538" Type="http://schemas.openxmlformats.org/officeDocument/2006/relationships/hyperlink" Target="https://en.wikipedia.org/wiki/Taxation_in_Russia" TargetMode="External"/><Relationship Id="rId703" Type="http://schemas.openxmlformats.org/officeDocument/2006/relationships/footer" Target="footer1.xml"/><Relationship Id="rId81" Type="http://schemas.openxmlformats.org/officeDocument/2006/relationships/hyperlink" Target="https://www.nationalpriorities.org/budget-basics/federal-budget-101/glossary/" TargetMode="External"/><Relationship Id="rId135" Type="http://schemas.openxmlformats.org/officeDocument/2006/relationships/image" Target="media/image5.png"/><Relationship Id="rId177" Type="http://schemas.openxmlformats.org/officeDocument/2006/relationships/hyperlink" Target="https://en.wikipedia.org/wiki/List_of_countries_by_GDP_(PPP)" TargetMode="External"/><Relationship Id="rId342" Type="http://schemas.openxmlformats.org/officeDocument/2006/relationships/hyperlink" Target="https://en.wikipedia.org/wiki/Agricultural_Development_Bank_of_China" TargetMode="External"/><Relationship Id="rId384" Type="http://schemas.openxmlformats.org/officeDocument/2006/relationships/hyperlink" Target="https://en.wikipedia.org/wiki/Agriculture" TargetMode="External"/><Relationship Id="rId591" Type="http://schemas.openxmlformats.org/officeDocument/2006/relationships/hyperlink" Target="https://en.wikipedia.org/wiki/Technology_park" TargetMode="External"/><Relationship Id="rId605" Type="http://schemas.openxmlformats.org/officeDocument/2006/relationships/hyperlink" Target="https://en.wikipedia.org/wiki/Tver_Oblast" TargetMode="External"/><Relationship Id="rId202" Type="http://schemas.openxmlformats.org/officeDocument/2006/relationships/hyperlink" Target="https://en.wikipedia.org/wiki/Barrick_Gold" TargetMode="External"/><Relationship Id="rId244" Type="http://schemas.openxmlformats.org/officeDocument/2006/relationships/hyperlink" Target="http://www.bankofcanada.ca/core-functions/financial-system/" TargetMode="External"/><Relationship Id="rId647" Type="http://schemas.openxmlformats.org/officeDocument/2006/relationships/hyperlink" Target="http://www.tradingeconomics.com/russia/social-security-rate" TargetMode="External"/><Relationship Id="rId689" Type="http://schemas.openxmlformats.org/officeDocument/2006/relationships/hyperlink" Target="http://www.turkmenistan.it/banchecommercialigb.html" TargetMode="External"/><Relationship Id="rId39" Type="http://schemas.openxmlformats.org/officeDocument/2006/relationships/hyperlink" Target="https://en.wikipedia.org/wiki/Office_of_Management_and_Budget" TargetMode="External"/><Relationship Id="rId286" Type="http://schemas.openxmlformats.org/officeDocument/2006/relationships/hyperlink" Target="https://en.wikipedia.org/wiki/Ottawa" TargetMode="External"/><Relationship Id="rId451" Type="http://schemas.openxmlformats.org/officeDocument/2006/relationships/hyperlink" Target="https://en.wikipedia.org/wiki/Household" TargetMode="External"/><Relationship Id="rId493" Type="http://schemas.openxmlformats.org/officeDocument/2006/relationships/hyperlink" Target="http://www.factosphere.com/pubfinance/budget/sources" TargetMode="External"/><Relationship Id="rId507" Type="http://schemas.openxmlformats.org/officeDocument/2006/relationships/image" Target="media/image22.png"/><Relationship Id="rId549" Type="http://schemas.openxmlformats.org/officeDocument/2006/relationships/hyperlink" Target="https://en.wikipedia.org/wiki/Wikipedia:Citation_needed" TargetMode="External"/><Relationship Id="rId50" Type="http://schemas.openxmlformats.org/officeDocument/2006/relationships/hyperlink" Target="https://en.wikipedia.org/wiki/U.S._Constitution" TargetMode="External"/><Relationship Id="rId104" Type="http://schemas.openxmlformats.org/officeDocument/2006/relationships/hyperlink" Target="https://en.wikipedia.org/wiki/Income_tax" TargetMode="External"/><Relationship Id="rId146" Type="http://schemas.openxmlformats.org/officeDocument/2006/relationships/hyperlink" Target="http://www.tradingeconomics.com/united-kingdom/government-debt" TargetMode="External"/><Relationship Id="rId188" Type="http://schemas.openxmlformats.org/officeDocument/2006/relationships/hyperlink" Target="https://en.wikipedia.org/wiki/Aircraft_industry" TargetMode="External"/><Relationship Id="rId311" Type="http://schemas.openxmlformats.org/officeDocument/2006/relationships/hyperlink" Target="https://en.wikipedia.org/wiki/Special_Economic_Zone" TargetMode="External"/><Relationship Id="rId353" Type="http://schemas.openxmlformats.org/officeDocument/2006/relationships/hyperlink" Target="https://en.wikipedia.org/wiki/China_Securities_Regulatory_Commission" TargetMode="External"/><Relationship Id="rId395" Type="http://schemas.openxmlformats.org/officeDocument/2006/relationships/hyperlink" Target="https://en.wikipedia.org/wiki/Commerce" TargetMode="External"/><Relationship Id="rId409" Type="http://schemas.openxmlformats.org/officeDocument/2006/relationships/hyperlink" Target="https://en.wikipedia.org/wiki/Private_banking" TargetMode="External"/><Relationship Id="rId560" Type="http://schemas.openxmlformats.org/officeDocument/2006/relationships/hyperlink" Target="https://en.wikipedia.org/wiki/Petroleum" TargetMode="External"/><Relationship Id="rId92" Type="http://schemas.openxmlformats.org/officeDocument/2006/relationships/image" Target="media/image4.png"/><Relationship Id="rId213" Type="http://schemas.openxmlformats.org/officeDocument/2006/relationships/hyperlink" Target="https://en.wikipedia.org/wiki/Toronto" TargetMode="External"/><Relationship Id="rId420" Type="http://schemas.openxmlformats.org/officeDocument/2006/relationships/hyperlink" Target="https://en.wikipedia.org/wiki/Gina_Rinehart" TargetMode="External"/><Relationship Id="rId616" Type="http://schemas.openxmlformats.org/officeDocument/2006/relationships/hyperlink" Target="https://en.wikipedia.org/wiki/Moscow" TargetMode="External"/><Relationship Id="rId658" Type="http://schemas.openxmlformats.org/officeDocument/2006/relationships/hyperlink" Target="https://en.wikipedia.org/wiki/House" TargetMode="External"/><Relationship Id="rId255" Type="http://schemas.openxmlformats.org/officeDocument/2006/relationships/hyperlink" Target="http://www.bankofcanada.ca/wp-content/uploads/2015/06/consultation-criteria-risk-management.pdf" TargetMode="External"/><Relationship Id="rId297" Type="http://schemas.openxmlformats.org/officeDocument/2006/relationships/hyperlink" Target="http://settlement.org/ontario/daily-life/personal-finance/taxes/how-much-income-tax-do-i-have-to-pay/" TargetMode="External"/><Relationship Id="rId462" Type="http://schemas.openxmlformats.org/officeDocument/2006/relationships/hyperlink" Target="http://www.tradingeconomics.com/russia/government-budget-value" TargetMode="External"/><Relationship Id="rId518" Type="http://schemas.openxmlformats.org/officeDocument/2006/relationships/hyperlink" Target="http://www.factosphere.com/pubfinance/budget/sources" TargetMode="External"/><Relationship Id="rId115" Type="http://schemas.openxmlformats.org/officeDocument/2006/relationships/hyperlink" Target="https://en.wikipedia.org/wiki/United_Kingdom_general_election,_1983" TargetMode="External"/><Relationship Id="rId157" Type="http://schemas.openxmlformats.org/officeDocument/2006/relationships/hyperlink" Target="https://en.wikipedia.org/wiki/HM_Treasury" TargetMode="External"/><Relationship Id="rId322" Type="http://schemas.openxmlformats.org/officeDocument/2006/relationships/hyperlink" Target="https://en.wikipedia.org/wiki/Finance" TargetMode="External"/><Relationship Id="rId364" Type="http://schemas.openxmlformats.org/officeDocument/2006/relationships/hyperlink" Target="https://en.wikipedia.org/wiki/Asian_Development_Bank" TargetMode="External"/><Relationship Id="rId61" Type="http://schemas.openxmlformats.org/officeDocument/2006/relationships/hyperlink" Target="https://en.wikipedia.org/wiki/Income_tax_in_the_United_States" TargetMode="External"/><Relationship Id="rId199" Type="http://schemas.openxmlformats.org/officeDocument/2006/relationships/hyperlink" Target="https://en.wikipedia.org/wiki/EnCana" TargetMode="External"/><Relationship Id="rId571" Type="http://schemas.openxmlformats.org/officeDocument/2006/relationships/hyperlink" Target="https://en.wikipedia.org/wiki/Taxation_in_Russia" TargetMode="External"/><Relationship Id="rId627" Type="http://schemas.openxmlformats.org/officeDocument/2006/relationships/hyperlink" Target="https://en.wikipedia.org/wiki/Bookmaker" TargetMode="External"/><Relationship Id="rId669" Type="http://schemas.openxmlformats.org/officeDocument/2006/relationships/hyperlink" Target="https://en.wikipedia.org/wiki/Deser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92</TotalTime>
  <Pages>114</Pages>
  <Words>87690</Words>
  <Characters>499835</Characters>
  <Application>Microsoft Office Word</Application>
  <DocSecurity>0</DocSecurity>
  <Lines>4165</Lines>
  <Paragraphs>1172</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586353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Гульмира</dc:creator>
  <cp:lastModifiedBy>Гульмира</cp:lastModifiedBy>
  <cp:revision>28</cp:revision>
  <dcterms:created xsi:type="dcterms:W3CDTF">2018-12-20T14:30:00Z</dcterms:created>
  <dcterms:modified xsi:type="dcterms:W3CDTF">2018-12-20T17:12:00Z</dcterms:modified>
</cp:coreProperties>
</file>